
<file path=[Content_Types].xml><?xml version="1.0" encoding="utf-8"?>
<Types xmlns="http://schemas.openxmlformats.org/package/2006/content-types">
  <Default Extension="rels" ContentType="application/vnd.openxmlformats-package.relationships+xml"/>
  <Default Extension="xml" ContentType="applicatio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BA07C" w14:textId="77777777" w:rsidR="00C85971" w:rsidRPr="007F4CC8" w:rsidRDefault="00C85971" w:rsidP="00C85971">
      <w:pPr>
        <w:pStyle w:val="Annexetitre"/>
      </w:pPr>
      <w:r>
        <w:t xml:space="preserve">BILAG VIII – Instrukser til skemaerne til offentliggørelse af kapitalgrundlag</w:t>
      </w:r>
    </w:p>
    <w:p w14:paraId="2B58A8D0" w14:textId="77777777" w:rsidR="00C85971" w:rsidRPr="007F4CC8" w:rsidRDefault="00C85971" w:rsidP="00C85971">
      <w:pPr>
        <w:rPr>
          <w:rFonts w:ascii="Times New Roman" w:hAnsi="Times New Roman" w:cs="Times New Roman"/>
          <w:sz w:val="24"/>
        </w:rPr>
      </w:pPr>
    </w:p>
    <w:p w14:paraId="0350FF78" w14:textId="77777777" w:rsidR="00C85971" w:rsidRPr="007F4CC8" w:rsidRDefault="00C85971" w:rsidP="00C85971">
      <w:pPr>
        <w:rPr>
          <w:b/>
          <w:bCs/>
          <w:sz w:val="24"/>
          <w:rFonts w:ascii="Times New Roman" w:hAnsi="Times New Roman" w:cs="Times New Roman"/>
        </w:rPr>
      </w:pPr>
      <w:r>
        <w:rPr>
          <w:b/>
          <w:sz w:val="24"/>
          <w:rFonts w:ascii="Times New Roman" w:hAnsi="Times New Roman"/>
        </w:rPr>
        <w:t xml:space="preserve">Skema EU CC1 — Sammensætning af lovpligtigt kapitalgrundlag</w:t>
      </w:r>
    </w:p>
    <w:p w14:paraId="55655225" w14:textId="77777777" w:rsidR="00C85971" w:rsidRPr="007F4CC8" w:rsidRDefault="00C85971" w:rsidP="00C85971">
      <w:pPr>
        <w:rPr>
          <w:rFonts w:ascii="Times New Roman" w:hAnsi="Times New Roman" w:cs="Times New Roman"/>
          <w:sz w:val="24"/>
        </w:rPr>
      </w:pPr>
    </w:p>
    <w:p w14:paraId="2B0D2E16" w14:textId="73E98823" w:rsidR="00C85971" w:rsidRPr="007F4CC8" w:rsidRDefault="00C85971" w:rsidP="00C85971">
      <w:pPr>
        <w:numPr>
          <w:ilvl w:val="0"/>
          <w:numId w:val="2"/>
        </w:numPr>
        <w:spacing w:before="120" w:after="120"/>
        <w:ind w:left="357" w:hanging="357"/>
        <w:jc w:val="both"/>
        <w:rPr>
          <w:bCs/>
          <w:sz w:val="24"/>
          <w:rFonts w:ascii="Times New Roman" w:hAnsi="Times New Roman" w:cs="Times New Roman"/>
        </w:rPr>
      </w:pPr>
      <w:r>
        <w:rPr>
          <w:sz w:val="24"/>
          <w:rFonts w:ascii="Times New Roman" w:hAnsi="Times New Roman"/>
        </w:rPr>
        <w:t xml:space="preserve">Institutterne offentliggør de oplysninger, som er omhandlet i artikel 437, litra a), d), e) og f), i forordning (EU) nr. 575/2013</w:t>
      </w:r>
      <w:r>
        <w:rPr>
          <w:rStyle w:val="FootnoteReference"/>
          <w:rFonts w:cs="Times New Roman"/>
          <w:color w:val="000000"/>
        </w:rPr>
        <w:footnoteReference w:id="1"/>
      </w:r>
      <w:r>
        <w:rPr>
          <w:sz w:val="24"/>
          <w:rFonts w:ascii="Times New Roman" w:hAnsi="Times New Roman"/>
        </w:rPr>
        <w:t xml:space="preserve"> ("CRR"), ved at følge instrukserne i dette bilag til udfyldelse af skema EU CC1, som findes i bilag VII til EBA's IT-løsninger.</w:t>
      </w:r>
    </w:p>
    <w:p w14:paraId="33ADC7E7" w14:textId="77777777" w:rsidR="00C85971" w:rsidRPr="007F4CC8" w:rsidRDefault="00C85971" w:rsidP="00C85971">
      <w:pPr>
        <w:numPr>
          <w:ilvl w:val="0"/>
          <w:numId w:val="2"/>
        </w:numPr>
        <w:spacing w:before="120" w:after="120"/>
        <w:ind w:left="357" w:hanging="357"/>
        <w:jc w:val="both"/>
        <w:rPr>
          <w:bCs/>
          <w:sz w:val="24"/>
          <w:rFonts w:ascii="Times New Roman" w:hAnsi="Times New Roman" w:cs="Times New Roman"/>
        </w:rPr>
      </w:pPr>
      <w:r>
        <w:rPr>
          <w:sz w:val="24"/>
          <w:rFonts w:ascii="Times New Roman" w:hAnsi="Times New Roman"/>
        </w:rPr>
        <w:t xml:space="preserve">I forbindelse med skema EU CC1 omfatter lovpligtige justeringer fradrag i kapitalgrundlaget og filtre.</w:t>
      </w:r>
    </w:p>
    <w:p w14:paraId="2CDAAE74" w14:textId="77777777" w:rsidR="00C85971" w:rsidRPr="007F4CC8" w:rsidRDefault="00C85971" w:rsidP="00C85971">
      <w:pPr>
        <w:numPr>
          <w:ilvl w:val="0"/>
          <w:numId w:val="2"/>
        </w:numPr>
        <w:spacing w:before="120" w:after="120"/>
        <w:ind w:left="357" w:hanging="357"/>
        <w:jc w:val="both"/>
        <w:rPr>
          <w:bCs/>
          <w:sz w:val="24"/>
          <w:rFonts w:ascii="Times New Roman" w:hAnsi="Times New Roman" w:cs="Times New Roman"/>
        </w:rPr>
      </w:pPr>
      <w:r>
        <w:rPr>
          <w:sz w:val="24"/>
          <w:rFonts w:ascii="Times New Roman" w:hAnsi="Times New Roman"/>
        </w:rPr>
        <w:t xml:space="preserve">Institutterne skal udfylde kolonne b) i dette skema for at vise kilden til alle vigtige input, og den skal have krydshenvisninger til de tilsvarende rækker i skema EU CC2.</w:t>
      </w:r>
    </w:p>
    <w:p w14:paraId="5C636132" w14:textId="77777777" w:rsidR="00C85971" w:rsidRPr="007F4CC8" w:rsidRDefault="00C85971" w:rsidP="00C85971">
      <w:pPr>
        <w:numPr>
          <w:ilvl w:val="0"/>
          <w:numId w:val="2"/>
        </w:numPr>
        <w:spacing w:before="120" w:after="120"/>
        <w:jc w:val="both"/>
        <w:rPr>
          <w:bCs/>
          <w:sz w:val="24"/>
          <w:rFonts w:ascii="Times New Roman" w:hAnsi="Times New Roman" w:cs="Times New Roman"/>
        </w:rPr>
      </w:pPr>
      <w:r>
        <w:rPr>
          <w:sz w:val="24"/>
          <w:rFonts w:ascii="Times New Roman" w:hAnsi="Times New Roman"/>
        </w:rPr>
        <w:t xml:space="preserve">I den beskrivelse, der ledsager skemaet, skal institutterne medtage en redegørelse af alle begrænsninger, der anvendes ved beregningen af kapitalgrundlaget i henhold til CRR, og de instrumenter, filtre og fradrag, som disse begrænsninger finder anvendelse på.</w:t>
      </w:r>
      <w:r>
        <w:rPr>
          <w:sz w:val="24"/>
          <w:rFonts w:ascii="Times New Roman" w:hAnsi="Times New Roman"/>
        </w:rPr>
        <w:t xml:space="preserve"> </w:t>
      </w:r>
      <w:r>
        <w:rPr>
          <w:sz w:val="24"/>
          <w:rFonts w:ascii="Times New Roman" w:hAnsi="Times New Roman"/>
        </w:rPr>
        <w:t xml:space="preserve">De skal også medtage en fyldestgørende redegørelse for det grundlag, som kapitalprocenter er beregnet på, såfremt disse kapitalprocenter er beregnet ved anvendelse af kapitalgrundlagselementer fastsat på et andet grundlag end det, der er fastsat i CRR.</w:t>
      </w:r>
    </w:p>
    <w:p w14:paraId="6B9498D2" w14:textId="77777777" w:rsidR="00C85971" w:rsidRPr="007F4CC8" w:rsidRDefault="00C85971" w:rsidP="00C85971">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85971" w:rsidRPr="007F4CC8" w14:paraId="28456029" w14:textId="77777777" w:rsidTr="00D819DE">
        <w:trPr>
          <w:trHeight w:val="395"/>
        </w:trPr>
        <w:tc>
          <w:tcPr>
            <w:tcW w:w="8414" w:type="dxa"/>
            <w:gridSpan w:val="2"/>
            <w:shd w:val="clear" w:color="auto" w:fill="D9D9D9" w:themeFill="background1" w:themeFillShade="D9"/>
          </w:tcPr>
          <w:p w14:paraId="3EB7B271" w14:textId="77777777" w:rsidR="00C85971" w:rsidRPr="007F4CC8" w:rsidRDefault="00C85971" w:rsidP="00D819DE">
            <w:pPr>
              <w:pStyle w:val="TableTitle"/>
              <w:spacing w:before="0" w:after="0"/>
              <w:jc w:val="left"/>
              <w:rPr>
                <w:noProof w:val="0"/>
                <w:sz w:val="24"/>
                <w:szCs w:val="24"/>
                <w:rFonts w:ascii="Times New Roman" w:hAnsi="Times New Roman"/>
              </w:rPr>
            </w:pPr>
            <w:r>
              <w:rPr>
                <w:sz w:val="24"/>
                <w:rFonts w:ascii="Times New Roman" w:hAnsi="Times New Roman"/>
              </w:rPr>
              <w:t xml:space="preserve">Henvisninger til retsakter og instrukser</w:t>
            </w:r>
          </w:p>
        </w:tc>
      </w:tr>
      <w:tr w:rsidR="00C85971" w:rsidRPr="007F4CC8" w14:paraId="0AB0475E" w14:textId="77777777" w:rsidTr="00D819DE">
        <w:tc>
          <w:tcPr>
            <w:tcW w:w="1172" w:type="dxa"/>
            <w:shd w:val="clear" w:color="auto" w:fill="D9D9D9" w:themeFill="background1" w:themeFillShade="D9"/>
          </w:tcPr>
          <w:p w14:paraId="0886C6D6" w14:textId="77777777" w:rsidR="00C85971" w:rsidRPr="007F4CC8" w:rsidRDefault="00C85971" w:rsidP="00D819DE">
            <w:pPr>
              <w:rPr>
                <w:b/>
                <w:sz w:val="24"/>
                <w:rFonts w:ascii="Times New Roman" w:hAnsi="Times New Roman" w:cs="Times New Roman"/>
              </w:rPr>
            </w:pPr>
            <w:r>
              <w:rPr>
                <w:b/>
                <w:sz w:val="24"/>
                <w:rFonts w:ascii="Times New Roman" w:hAnsi="Times New Roman"/>
              </w:rPr>
              <w:t xml:space="preserve">Række nr.</w:t>
            </w:r>
          </w:p>
        </w:tc>
        <w:tc>
          <w:tcPr>
            <w:tcW w:w="7242" w:type="dxa"/>
            <w:shd w:val="clear" w:color="auto" w:fill="D9D9D9" w:themeFill="background1" w:themeFillShade="D9"/>
          </w:tcPr>
          <w:p w14:paraId="3586AD3A" w14:textId="77777777" w:rsidR="00C85971" w:rsidRPr="007F4CC8" w:rsidRDefault="00C85971" w:rsidP="00D819DE">
            <w:pPr>
              <w:rPr>
                <w:b/>
                <w:sz w:val="24"/>
                <w:rFonts w:ascii="Times New Roman" w:hAnsi="Times New Roman" w:cs="Times New Roman"/>
              </w:rPr>
            </w:pPr>
            <w:r>
              <w:rPr>
                <w:b/>
                <w:sz w:val="24"/>
                <w:rFonts w:ascii="Times New Roman" w:hAnsi="Times New Roman"/>
              </w:rPr>
              <w:t xml:space="preserve">Forklaring</w:t>
            </w:r>
          </w:p>
        </w:tc>
      </w:tr>
      <w:tr w:rsidR="00C85971" w:rsidRPr="007F4CC8" w14:paraId="3EC81769" w14:textId="77777777" w:rsidTr="00D819DE">
        <w:tc>
          <w:tcPr>
            <w:tcW w:w="1172" w:type="dxa"/>
            <w:vAlign w:val="center"/>
          </w:tcPr>
          <w:p w14:paraId="27AE8497"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1</w:t>
            </w:r>
          </w:p>
        </w:tc>
        <w:tc>
          <w:tcPr>
            <w:tcW w:w="7242" w:type="dxa"/>
          </w:tcPr>
          <w:p w14:paraId="6D216B78"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Kapitalinstrumenter og overkurs ved emission i tilknytning hertil</w:t>
            </w:r>
          </w:p>
          <w:p w14:paraId="3624D9E6"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Kapitalinstrumenter og overkurs ved emission i tilknytning hertil i overensstemmelse med artikel 26, stk. 1, litra a) og b), og artikel 27, 28 og 29 i CRR og EBA-listen som omhandlet i artikel 26, stk. 3, i CRR, og en opdeling efter instrumenttype.</w:t>
            </w:r>
          </w:p>
        </w:tc>
      </w:tr>
      <w:tr w:rsidR="00C85971" w:rsidRPr="007F4CC8" w14:paraId="32A6085B" w14:textId="77777777" w:rsidTr="00D819DE">
        <w:tc>
          <w:tcPr>
            <w:tcW w:w="1172" w:type="dxa"/>
            <w:vAlign w:val="center"/>
          </w:tcPr>
          <w:p w14:paraId="1D36DC3B"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2</w:t>
            </w:r>
          </w:p>
        </w:tc>
        <w:tc>
          <w:tcPr>
            <w:tcW w:w="7242" w:type="dxa"/>
            <w:vAlign w:val="center"/>
          </w:tcPr>
          <w:p w14:paraId="5CAB890A"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Overført resultat</w:t>
            </w:r>
          </w:p>
          <w:p w14:paraId="3BB53B05"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Overført resultat for alle lovpligtige justeringer i overensstemmelse med artikel 26, stk. 1, litra c), i CRR (før indregning af foreløbige nettooverskud eller nettotab).</w:t>
            </w:r>
          </w:p>
        </w:tc>
      </w:tr>
      <w:tr w:rsidR="00C85971" w:rsidRPr="007F4CC8" w14:paraId="55D99A61" w14:textId="77777777" w:rsidTr="00D819DE">
        <w:trPr>
          <w:trHeight w:val="980"/>
        </w:trPr>
        <w:tc>
          <w:tcPr>
            <w:tcW w:w="1172" w:type="dxa"/>
            <w:vAlign w:val="center"/>
          </w:tcPr>
          <w:p w14:paraId="269B6739"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3</w:t>
            </w:r>
          </w:p>
        </w:tc>
        <w:tc>
          <w:tcPr>
            <w:tcW w:w="7242" w:type="dxa"/>
            <w:vAlign w:val="center"/>
          </w:tcPr>
          <w:p w14:paraId="32D3B938"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Akkumuleret anden totalindkomst (og andre reserver)</w:t>
            </w:r>
          </w:p>
          <w:p w14:paraId="7F756611"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Beløb for akkumuleret anden totalindkomst og andre reserver i overensstemmelse med artikel 26, stk. 1, litra d) og e), i CRR.</w:t>
            </w:r>
          </w:p>
        </w:tc>
      </w:tr>
      <w:tr w:rsidR="00C85971" w:rsidRPr="007F4CC8" w14:paraId="5C04AF2A" w14:textId="77777777" w:rsidTr="00D819DE">
        <w:tc>
          <w:tcPr>
            <w:tcW w:w="1172" w:type="dxa"/>
            <w:vAlign w:val="center"/>
          </w:tcPr>
          <w:p w14:paraId="18044CFD"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EU-3a</w:t>
            </w:r>
          </w:p>
        </w:tc>
        <w:tc>
          <w:tcPr>
            <w:tcW w:w="7242" w:type="dxa"/>
            <w:vAlign w:val="center"/>
          </w:tcPr>
          <w:p w14:paraId="780A3FE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Midler til dækning af generelle kreditinstitutrisici</w:t>
            </w:r>
          </w:p>
          <w:p w14:paraId="3C427163"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Beløb for midler til dækning af generelle kreditinstitutrisici i overensstemmelse med artikel 26, stk. 1, litra f), i CRR.</w:t>
            </w:r>
          </w:p>
        </w:tc>
      </w:tr>
      <w:tr w:rsidR="00C85971" w:rsidRPr="007F4CC8" w14:paraId="429037B8" w14:textId="77777777" w:rsidTr="00D819DE">
        <w:tc>
          <w:tcPr>
            <w:tcW w:w="1172" w:type="dxa"/>
            <w:vAlign w:val="center"/>
          </w:tcPr>
          <w:p w14:paraId="3AC0D40C"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4</w:t>
            </w:r>
          </w:p>
        </w:tc>
        <w:tc>
          <w:tcPr>
            <w:tcW w:w="7242" w:type="dxa"/>
            <w:vAlign w:val="center"/>
          </w:tcPr>
          <w:p w14:paraId="12939885"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Beløb for kvalificerede poster omhandlet i artikel 484, stk. 3, i CRR og overkurs ved emission i tilknytning hertil underlagt udfasning fra egentlig kernekapital</w:t>
            </w:r>
          </w:p>
          <w:p w14:paraId="434ED6B8"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Beløbet for kvalificerede poster omhandlet i artikel 484, stk. 3, i CRR og overkurs ved emission i tilknytning hertil underlagt udfasning fra egentlig kernekapital, jf. artikel 486, stk. 2, i CRR.</w:t>
            </w:r>
          </w:p>
        </w:tc>
      </w:tr>
      <w:tr w:rsidR="00C85971" w:rsidRPr="007F4CC8" w14:paraId="0FE5F2C7" w14:textId="77777777" w:rsidTr="00D819DE">
        <w:tc>
          <w:tcPr>
            <w:tcW w:w="1172" w:type="dxa"/>
            <w:vAlign w:val="center"/>
          </w:tcPr>
          <w:p w14:paraId="31B676BF"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5</w:t>
            </w:r>
          </w:p>
        </w:tc>
        <w:tc>
          <w:tcPr>
            <w:tcW w:w="7242" w:type="dxa"/>
            <w:vAlign w:val="center"/>
          </w:tcPr>
          <w:p w14:paraId="3FF63C40"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Minoritetsinteresser (beløb tilladt i den konsoliderede egentlige kernekapital)</w:t>
            </w:r>
          </w:p>
          <w:p w14:paraId="64724C4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Minoritetsinteresser (beløb tilladt i den konsoliderede egentlige kernekapital), jf. artikel 84 i CRR.</w:t>
            </w:r>
          </w:p>
        </w:tc>
      </w:tr>
      <w:tr w:rsidR="00C85971" w:rsidRPr="007F4CC8" w14:paraId="05B4754F" w14:textId="77777777" w:rsidTr="00D819DE">
        <w:tc>
          <w:tcPr>
            <w:tcW w:w="1172" w:type="dxa"/>
            <w:vAlign w:val="center"/>
          </w:tcPr>
          <w:p w14:paraId="039F76BE"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EU-5a</w:t>
            </w:r>
          </w:p>
        </w:tc>
        <w:tc>
          <w:tcPr>
            <w:tcW w:w="7242" w:type="dxa"/>
            <w:vAlign w:val="center"/>
          </w:tcPr>
          <w:p w14:paraId="179AFE3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Uafhængigt kontrollerede foreløbige overskud fratrukket forventede udgifter eller udbytter</w:t>
            </w:r>
          </w:p>
          <w:p w14:paraId="30173762"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Uafhængigt kontrollerede foreløbige overskud fratrukket forventede udgifter eller udbytter, jf. artikel 26, stk. 2, i CRR.</w:t>
            </w:r>
          </w:p>
        </w:tc>
      </w:tr>
      <w:tr w:rsidR="00C85971" w:rsidRPr="007F4CC8" w14:paraId="0DB6D54A" w14:textId="77777777" w:rsidTr="00D819DE">
        <w:tc>
          <w:tcPr>
            <w:tcW w:w="1172" w:type="dxa"/>
            <w:vAlign w:val="center"/>
          </w:tcPr>
          <w:p w14:paraId="77050ED8"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6</w:t>
            </w:r>
          </w:p>
        </w:tc>
        <w:tc>
          <w:tcPr>
            <w:tcW w:w="7242" w:type="dxa"/>
            <w:vAlign w:val="center"/>
          </w:tcPr>
          <w:p w14:paraId="181768A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Egentlig kernekapital før lovpligtige justeringer</w:t>
            </w:r>
          </w:p>
          <w:p w14:paraId="5517D0E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Summen af beløbene i række 1 til EU-5a i dette skema.</w:t>
            </w:r>
          </w:p>
        </w:tc>
      </w:tr>
      <w:tr w:rsidR="00C85971" w:rsidRPr="007F4CC8" w14:paraId="1DB3573D" w14:textId="77777777" w:rsidTr="00D819DE">
        <w:tc>
          <w:tcPr>
            <w:tcW w:w="1172" w:type="dxa"/>
            <w:vAlign w:val="center"/>
          </w:tcPr>
          <w:p w14:paraId="3A212C69"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7</w:t>
            </w:r>
          </w:p>
        </w:tc>
        <w:tc>
          <w:tcPr>
            <w:tcW w:w="7242" w:type="dxa"/>
            <w:vAlign w:val="center"/>
          </w:tcPr>
          <w:p w14:paraId="25B17849"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Yderligere værdijusteringer (negativt beløb)</w:t>
            </w:r>
          </w:p>
          <w:p w14:paraId="24604E9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Yderligere værdijusteringer i overensstemmelse med artikel 34 og 105 i CRR (negativt beløb).</w:t>
            </w:r>
          </w:p>
        </w:tc>
      </w:tr>
      <w:tr w:rsidR="00C85971" w:rsidRPr="007F4CC8" w14:paraId="5FE594E0" w14:textId="77777777" w:rsidTr="00D819DE">
        <w:tc>
          <w:tcPr>
            <w:tcW w:w="1172" w:type="dxa"/>
            <w:vAlign w:val="center"/>
          </w:tcPr>
          <w:p w14:paraId="04267FFA"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8</w:t>
            </w:r>
          </w:p>
        </w:tc>
        <w:tc>
          <w:tcPr>
            <w:tcW w:w="7242" w:type="dxa"/>
            <w:vAlign w:val="center"/>
          </w:tcPr>
          <w:p w14:paraId="540851D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Immaterielle aktiver (fratrukket tilhørende skatteforpligtelser) (negativt beløb)</w:t>
            </w:r>
          </w:p>
          <w:p w14:paraId="5E39866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Immaterielle aktiver (fratrukket tilhørende skatteforpligtelser) i overensstemmelse med artikel 36, stk. 1, litra b), og artikel 37 i CRR (negativt beløb).</w:t>
            </w:r>
          </w:p>
        </w:tc>
      </w:tr>
      <w:tr w:rsidR="00C85971" w:rsidRPr="007F4CC8" w14:paraId="57D545A8" w14:textId="77777777" w:rsidTr="00D819DE">
        <w:tc>
          <w:tcPr>
            <w:tcW w:w="1172" w:type="dxa"/>
            <w:vAlign w:val="center"/>
          </w:tcPr>
          <w:p w14:paraId="058D3A75"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9</w:t>
            </w:r>
            <w:r>
              <w:rPr>
                <w:sz w:val="24"/>
                <w:rFonts w:ascii="Times New Roman" w:hAnsi="Times New Roman"/>
              </w:rPr>
              <w:t xml:space="preserve"> </w:t>
            </w:r>
          </w:p>
        </w:tc>
        <w:tc>
          <w:tcPr>
            <w:tcW w:w="7242" w:type="dxa"/>
            <w:vAlign w:val="center"/>
          </w:tcPr>
          <w:p w14:paraId="16084F42"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Ikke relevant</w:t>
            </w:r>
          </w:p>
        </w:tc>
      </w:tr>
      <w:tr w:rsidR="00C85971" w:rsidRPr="007F4CC8" w14:paraId="66B4EBC9" w14:textId="77777777" w:rsidTr="00D819DE">
        <w:tc>
          <w:tcPr>
            <w:tcW w:w="1172" w:type="dxa"/>
            <w:vAlign w:val="center"/>
          </w:tcPr>
          <w:p w14:paraId="2BDE1E17"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10</w:t>
            </w:r>
          </w:p>
        </w:tc>
        <w:tc>
          <w:tcPr>
            <w:tcW w:w="7242" w:type="dxa"/>
            <w:vAlign w:val="center"/>
          </w:tcPr>
          <w:p w14:paraId="03352CF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Udskudte skatteaktiver, som afhænger af fremtidig rentabilitet, bortset fra aktiver, som skyldes midlertidige forskelle (fratrukket tilknyttede skatteforpligtelser, hvis betingelserne i artikel 38, stk. 3, i CRR er opfyldt) (negativt beløb)</w:t>
            </w:r>
          </w:p>
          <w:p w14:paraId="2A0A42E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Udskudte skatteaktiver, som afhænger af fremtidig rentabilitet, bortset fra aktiver, som skyldes midlertidige forskelle (fratrukket tilknyttede skatteforpligtelser, hvis betingelserne i artikel 38, stk. 3, i CRR er opfyldt), i overensstemmelse med artikel 36, stk. 1, litra c), og artikel 38 i CRR (negativt beløb).</w:t>
            </w:r>
          </w:p>
        </w:tc>
      </w:tr>
      <w:tr w:rsidR="00C85971" w:rsidRPr="007F4CC8" w14:paraId="6D9F3290" w14:textId="77777777" w:rsidTr="00D819DE">
        <w:tc>
          <w:tcPr>
            <w:tcW w:w="1172" w:type="dxa"/>
            <w:vAlign w:val="center"/>
          </w:tcPr>
          <w:p w14:paraId="45C66F63"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11</w:t>
            </w:r>
          </w:p>
        </w:tc>
        <w:tc>
          <w:tcPr>
            <w:tcW w:w="7242" w:type="dxa"/>
            <w:vAlign w:val="center"/>
          </w:tcPr>
          <w:p w14:paraId="68ABFBF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Dagsværdireserver i relation til gevinst eller tab på sikring af pengestrømme for finansielle instrumenter, som ikke er værdiansat til dagsværdi</w:t>
            </w:r>
          </w:p>
          <w:p w14:paraId="28EED64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Dagsværdireserver i relation til gevinst eller tab på sikring af pengestrømme for finansielle instrumenter, som ikke er værdiansat til dagsværdi, i overensstemmelse med artikel 33, stk. 1, litra a), i CRR.</w:t>
            </w:r>
          </w:p>
        </w:tc>
      </w:tr>
      <w:tr w:rsidR="00C85971" w:rsidRPr="007F4CC8" w14:paraId="71D2CA32" w14:textId="77777777" w:rsidTr="00D819DE">
        <w:tc>
          <w:tcPr>
            <w:tcW w:w="1172" w:type="dxa"/>
            <w:vAlign w:val="center"/>
          </w:tcPr>
          <w:p w14:paraId="0F63B72D"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12</w:t>
            </w:r>
          </w:p>
        </w:tc>
        <w:tc>
          <w:tcPr>
            <w:tcW w:w="7242" w:type="dxa"/>
            <w:vAlign w:val="center"/>
          </w:tcPr>
          <w:p w14:paraId="7F76EC5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Negative beløb, der fremkommer ved beregningen af forventede tab</w:t>
            </w:r>
          </w:p>
          <w:p w14:paraId="1056ED1A"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Negativ beløb, der fremkommer ved beregningen af forventede tab, i overensstemmelse med artikel 36, stk. 1, litra d), og artikel 40 i CRR.</w:t>
            </w:r>
          </w:p>
        </w:tc>
      </w:tr>
      <w:tr w:rsidR="00C85971" w:rsidRPr="007F4CC8" w14:paraId="668AEBB4" w14:textId="77777777" w:rsidTr="00D819DE">
        <w:tc>
          <w:tcPr>
            <w:tcW w:w="1172" w:type="dxa"/>
            <w:vAlign w:val="center"/>
          </w:tcPr>
          <w:p w14:paraId="3EA3D281"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13</w:t>
            </w:r>
          </w:p>
        </w:tc>
        <w:tc>
          <w:tcPr>
            <w:tcW w:w="7242" w:type="dxa"/>
            <w:vAlign w:val="center"/>
          </w:tcPr>
          <w:p w14:paraId="2DCF7FE6"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Stigning i egenkapitalen, som er genereret af securitiserede aktiver (negativt beløb)</w:t>
            </w:r>
          </w:p>
          <w:p w14:paraId="0C6A56A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Stigning i egenkapitalen, som er genereret af securitiserede aktiver, i overensstemmelse med artikel 32, stk. 1, i CRR (negativt beløb).</w:t>
            </w:r>
          </w:p>
        </w:tc>
      </w:tr>
      <w:tr w:rsidR="00C85971" w:rsidRPr="007F4CC8" w14:paraId="04770087" w14:textId="77777777" w:rsidTr="00D819DE">
        <w:tc>
          <w:tcPr>
            <w:tcW w:w="1172" w:type="dxa"/>
            <w:vAlign w:val="center"/>
          </w:tcPr>
          <w:p w14:paraId="7A814A94"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14</w:t>
            </w:r>
          </w:p>
        </w:tc>
        <w:tc>
          <w:tcPr>
            <w:tcW w:w="7242" w:type="dxa"/>
            <w:vAlign w:val="center"/>
          </w:tcPr>
          <w:p w14:paraId="4D170913"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Gevinster eller tab på forpligtelser værdiansat til dagsværdi, som skyldes ændringer i instituttets egen kreditsituation</w:t>
            </w:r>
          </w:p>
          <w:p w14:paraId="07C3FAB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Gevinster eller tab på forpligtelser værdiansat til dagsværdi, som skyldes ændringer i instituttets egen kreditsituation i overensstemmelse med artikel 33, stk. 1, litra b), i CRR.</w:t>
            </w:r>
          </w:p>
        </w:tc>
      </w:tr>
      <w:tr w:rsidR="00C85971" w:rsidRPr="007F4CC8" w14:paraId="68D64C29" w14:textId="77777777" w:rsidTr="00D819DE">
        <w:tc>
          <w:tcPr>
            <w:tcW w:w="1172" w:type="dxa"/>
            <w:vAlign w:val="center"/>
          </w:tcPr>
          <w:p w14:paraId="645BE2AE"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15</w:t>
            </w:r>
          </w:p>
        </w:tc>
        <w:tc>
          <w:tcPr>
            <w:tcW w:w="7242" w:type="dxa"/>
            <w:vAlign w:val="center"/>
          </w:tcPr>
          <w:p w14:paraId="34140A6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Aktiver i ydelsesbaserede pensionskasser (negativt beløb)</w:t>
            </w:r>
          </w:p>
          <w:p w14:paraId="7FE0A992"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Aktiver i ydelsesbaserede pensionskasser i overensstemmelse med artikel 36, stk. 1, litra e), og artikel 41 i CRR (negativt beløb)</w:t>
            </w:r>
          </w:p>
        </w:tc>
      </w:tr>
      <w:tr w:rsidR="00C85971" w:rsidRPr="007F4CC8" w14:paraId="3681BE55" w14:textId="77777777" w:rsidTr="00D819DE">
        <w:tc>
          <w:tcPr>
            <w:tcW w:w="1172" w:type="dxa"/>
            <w:vAlign w:val="center"/>
          </w:tcPr>
          <w:p w14:paraId="0034A022"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16</w:t>
            </w:r>
          </w:p>
        </w:tc>
        <w:tc>
          <w:tcPr>
            <w:tcW w:w="7242" w:type="dxa"/>
            <w:vAlign w:val="center"/>
          </w:tcPr>
          <w:p w14:paraId="7DEFE6A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Et instituts direkte, indirekte og syntetiske besiddelser af egne egentlige kernekapitalinstrumenter (negativt beløb)</w:t>
            </w:r>
          </w:p>
          <w:p w14:paraId="77709E9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Et instituts direkte, indirekte og syntetiske besiddelser af egne egentlige kernekapitalinstrumenter, jf. artikel 36, stk. 1, litra f), og artikel 42 i CRR (negativt beløb)</w:t>
            </w:r>
          </w:p>
        </w:tc>
      </w:tr>
      <w:tr w:rsidR="00C85971" w:rsidRPr="007F4CC8" w14:paraId="32F833B6" w14:textId="77777777" w:rsidTr="00D819DE">
        <w:tc>
          <w:tcPr>
            <w:tcW w:w="1172" w:type="dxa"/>
            <w:vAlign w:val="center"/>
          </w:tcPr>
          <w:p w14:paraId="2A6F9FDE"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17</w:t>
            </w:r>
          </w:p>
        </w:tc>
        <w:tc>
          <w:tcPr>
            <w:tcW w:w="7242" w:type="dxa"/>
            <w:vAlign w:val="center"/>
          </w:tcPr>
          <w:p w14:paraId="1754CB16"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Direkte, indirekte og syntetiske besiddelser af egentlige kernekapitalinstrumenter i enheder i den finansielle sektor, når disse enheder har en besiddelse i krydsejerskab med instituttet, og ejerskabet er blevet indgået for kunstigt at øge instituttets kapitalgrundlag (negativt beløb)</w:t>
            </w:r>
          </w:p>
          <w:p w14:paraId="2AFFD0C1"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Direkte, indirekte og syntetiske besiddelser af egentlige kernekapitalinstrumenter i enheder i den finansielle sektor, når disse enheder har en besiddelse i krydsejerskab med instituttet, og ejerskabet er blevet indgået for kunstigt at øge instituttets kapitalgrundlag, jf. artikel 36, stk. 1, litra g), og artikel 44 i CRR (negativt beløb).</w:t>
            </w:r>
          </w:p>
        </w:tc>
      </w:tr>
      <w:tr w:rsidR="00C85971" w:rsidRPr="007F4CC8" w14:paraId="6B072F45" w14:textId="77777777" w:rsidTr="00D819DE">
        <w:tc>
          <w:tcPr>
            <w:tcW w:w="1172" w:type="dxa"/>
            <w:vAlign w:val="center"/>
          </w:tcPr>
          <w:p w14:paraId="76E49E69"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18</w:t>
            </w:r>
          </w:p>
        </w:tc>
        <w:tc>
          <w:tcPr>
            <w:tcW w:w="7242" w:type="dxa"/>
            <w:vAlign w:val="center"/>
          </w:tcPr>
          <w:p w14:paraId="3B9E256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Instituttets relevante direkte, indirekte og syntetiske besiddelser af egentlige kernekapitalinstrumenter i enheder i den finansielle sektor, når instituttet ikke har væsentlige investeringer i disse enheder (beløb over tærsklen på 10 % og fratrukket anerkendte korte positioner) (negativt beløb)</w:t>
            </w:r>
          </w:p>
          <w:p w14:paraId="3D0E5CB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Direkte, indirekte og syntetiske besiddelser af egentlige kernekapitalinstrumenter i enheder i den finansielle sektor, når instituttet ikke har væsentlige investeringer i disse enheder (beløb over tærsklen på 10 % og fratrukket anerkendte korte positioner), jf. artikel 36, stk. 1, litra h), og artikel 43, artikel 45, artikel 46, artikel 49, stk. 2 og 3, og artikel 79 i CRR (negativt beløb).</w:t>
            </w:r>
          </w:p>
        </w:tc>
      </w:tr>
      <w:tr w:rsidR="00C85971" w:rsidRPr="007F4CC8" w14:paraId="6302E329" w14:textId="77777777" w:rsidTr="00D819DE">
        <w:tc>
          <w:tcPr>
            <w:tcW w:w="1172" w:type="dxa"/>
            <w:vAlign w:val="center"/>
          </w:tcPr>
          <w:p w14:paraId="0DAD47A8"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19</w:t>
            </w:r>
          </w:p>
        </w:tc>
        <w:tc>
          <w:tcPr>
            <w:tcW w:w="7242" w:type="dxa"/>
            <w:vAlign w:val="center"/>
          </w:tcPr>
          <w:p w14:paraId="4BA2A690"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Instituttets relevante direkte, indirekte og syntetiske besiddelser af egentlige kernekapitalinstrumenter i enheder i den finansielle sektor, når instituttet har væsentlige investeringer i disse enheder (beløb over tærsklen på 10 % og fratrukket anerkendte korte positioner) (negativt beløb)</w:t>
            </w:r>
          </w:p>
          <w:p w14:paraId="39DCB46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Instituttets direkte, indirekte og syntetiske besiddelser af egentlige kernekapitalinstrumenter i enheder i den finansielle sektor, når instituttet har væsentlige investeringer i disse enheder (beløb over tærsklen på 10 % og fratrukket anerkendte korte positioner), jf. artikel 36, stk. 1, litra i), artikel 43, artikel 45, artikel 47, artikel 48, stk. 1, litra b), og artikel 49, stk. 1 til 3, i CRR (negativt beløb).</w:t>
            </w:r>
          </w:p>
        </w:tc>
      </w:tr>
      <w:tr w:rsidR="00C85971" w:rsidRPr="007F4CC8" w14:paraId="42E6F488" w14:textId="77777777" w:rsidTr="00D819DE">
        <w:tc>
          <w:tcPr>
            <w:tcW w:w="1172" w:type="dxa"/>
            <w:vAlign w:val="center"/>
          </w:tcPr>
          <w:p w14:paraId="00D177C3"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20</w:t>
            </w:r>
          </w:p>
        </w:tc>
        <w:tc>
          <w:tcPr>
            <w:tcW w:w="7242" w:type="dxa"/>
            <w:vAlign w:val="center"/>
          </w:tcPr>
          <w:p w14:paraId="7EEC1B79"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Ikke relevant</w:t>
            </w:r>
          </w:p>
        </w:tc>
      </w:tr>
      <w:tr w:rsidR="00C85971" w:rsidRPr="007F4CC8" w14:paraId="61B4CB13" w14:textId="77777777" w:rsidTr="00D819DE">
        <w:tc>
          <w:tcPr>
            <w:tcW w:w="1172" w:type="dxa"/>
            <w:vAlign w:val="center"/>
          </w:tcPr>
          <w:p w14:paraId="313FE949"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EU-20a</w:t>
            </w:r>
          </w:p>
        </w:tc>
        <w:tc>
          <w:tcPr>
            <w:tcW w:w="7242" w:type="dxa"/>
            <w:vAlign w:val="center"/>
          </w:tcPr>
          <w:p w14:paraId="7BE5743A"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Eksponeringsværdien af følgende poster, som opfylder betingelserne for at kunne tildeles en risikovægt på 1 250 %, hvis instituttet vælger fradragsalternativet</w:t>
            </w:r>
          </w:p>
          <w:p w14:paraId="2CA8C5B0"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Eksponeringsværdi, som opfylder betingelserne for at kunne tildeles en risikovægt på 1 250 %, hvis instituttet vælger fradragsalternativet, jf. artikel 36, stk. 1, litra k), i CRR.</w:t>
            </w:r>
          </w:p>
        </w:tc>
      </w:tr>
      <w:tr w:rsidR="00C85971" w:rsidRPr="007F4CC8" w14:paraId="216A2996" w14:textId="77777777" w:rsidTr="00D819DE">
        <w:tc>
          <w:tcPr>
            <w:tcW w:w="1172" w:type="dxa"/>
            <w:vAlign w:val="center"/>
          </w:tcPr>
          <w:p w14:paraId="6FDF8572"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EU-20b</w:t>
            </w:r>
          </w:p>
        </w:tc>
        <w:tc>
          <w:tcPr>
            <w:tcW w:w="7242" w:type="dxa"/>
            <w:vAlign w:val="center"/>
          </w:tcPr>
          <w:p w14:paraId="6D0F55A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heraf:</w:t>
            </w:r>
            <w:r>
              <w:rPr>
                <w:sz w:val="24"/>
                <w:rFonts w:ascii="Times New Roman" w:hAnsi="Times New Roman"/>
              </w:rPr>
              <w:t xml:space="preserve"> </w:t>
            </w:r>
            <w:r>
              <w:rPr>
                <w:sz w:val="24"/>
                <w:rFonts w:ascii="Times New Roman" w:hAnsi="Times New Roman"/>
              </w:rPr>
              <w:t xml:space="preserve">kvalificerede andele uden for den finansielle sektor (negativt beløb)</w:t>
            </w:r>
          </w:p>
          <w:p w14:paraId="0056EA61"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Af beløbet i EU-20a, det beløb, der vedrører kvalificerede andele uden for den finansielle sektor, i overensstemmelse med artikel 36, stk. 1, litra k), nr. i), og artikel 89 til 91 i CRR (negativt beløb)</w:t>
            </w:r>
          </w:p>
        </w:tc>
      </w:tr>
      <w:tr w:rsidR="00C85971" w:rsidRPr="007F4CC8" w14:paraId="694F5B83" w14:textId="77777777" w:rsidTr="00D819DE">
        <w:tc>
          <w:tcPr>
            <w:tcW w:w="1172" w:type="dxa"/>
            <w:vAlign w:val="center"/>
          </w:tcPr>
          <w:p w14:paraId="00CA28A1"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EU-20c</w:t>
            </w:r>
          </w:p>
        </w:tc>
        <w:tc>
          <w:tcPr>
            <w:tcW w:w="7242" w:type="dxa"/>
            <w:vAlign w:val="center"/>
          </w:tcPr>
          <w:p w14:paraId="66854EC6"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heraf:</w:t>
            </w:r>
            <w:r>
              <w:rPr>
                <w:sz w:val="24"/>
                <w:rFonts w:ascii="Times New Roman" w:hAnsi="Times New Roman"/>
              </w:rPr>
              <w:t xml:space="preserve"> </w:t>
            </w:r>
            <w:r>
              <w:rPr>
                <w:sz w:val="24"/>
                <w:rFonts w:ascii="Times New Roman" w:hAnsi="Times New Roman"/>
              </w:rPr>
              <w:t xml:space="preserve">securitiseringspositioner (negativt beløb)</w:t>
            </w:r>
          </w:p>
          <w:p w14:paraId="232BFB2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Af beløbet i EU-20a i dette skema, det beløb, der vedrører securitiseringspositioner, i overensstemmelse med artikel 36, stk. 1, litra k), nr. ii), artikel 243, stk. 1, litra b), artikel 244, stk. 1, litra b), og artikel 258 i CRR (negativt beløb)</w:t>
            </w:r>
          </w:p>
        </w:tc>
      </w:tr>
      <w:tr w:rsidR="00C85971" w:rsidRPr="007F4CC8" w14:paraId="7CC14FB6" w14:textId="77777777" w:rsidTr="00D819DE">
        <w:tc>
          <w:tcPr>
            <w:tcW w:w="1172" w:type="dxa"/>
            <w:vAlign w:val="center"/>
          </w:tcPr>
          <w:p w14:paraId="2476A7F4"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EU-20d</w:t>
            </w:r>
          </w:p>
        </w:tc>
        <w:tc>
          <w:tcPr>
            <w:tcW w:w="7242" w:type="dxa"/>
            <w:vAlign w:val="center"/>
          </w:tcPr>
          <w:p w14:paraId="7715FCAD"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heraf:</w:t>
            </w:r>
            <w:r>
              <w:rPr>
                <w:sz w:val="24"/>
                <w:rFonts w:ascii="Times New Roman" w:hAnsi="Times New Roman"/>
              </w:rPr>
              <w:t xml:space="preserve"> </w:t>
            </w:r>
            <w:r>
              <w:rPr>
                <w:sz w:val="24"/>
                <w:rFonts w:ascii="Times New Roman" w:hAnsi="Times New Roman"/>
              </w:rPr>
              <w:t xml:space="preserve">leveringsrisiko (free deliveries) (negativt beløb)</w:t>
            </w:r>
          </w:p>
          <w:p w14:paraId="218B6C2A"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Af beløbet i EU-20a i dette skema, det beløb, der vedrører leveringsrisiko (free deliveries), i overensstemmelse med artikel 36, stk. 1, litra k), nr. iii), og artikel 379, stk. 3, i CRR (negativt beløb).</w:t>
            </w:r>
          </w:p>
        </w:tc>
      </w:tr>
      <w:tr w:rsidR="00C85971" w:rsidRPr="007F4CC8" w14:paraId="2AAF4949" w14:textId="77777777" w:rsidTr="00D819DE">
        <w:tc>
          <w:tcPr>
            <w:tcW w:w="1172" w:type="dxa"/>
            <w:vAlign w:val="center"/>
          </w:tcPr>
          <w:p w14:paraId="1F1BEBC3"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21</w:t>
            </w:r>
          </w:p>
        </w:tc>
        <w:tc>
          <w:tcPr>
            <w:tcW w:w="7242" w:type="dxa"/>
            <w:vAlign w:val="center"/>
          </w:tcPr>
          <w:p w14:paraId="0D304806"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Udskudte skatteaktiver, som skyldes midlertidige forskelle (beløb over tærsklen på 10 %, fratrukket tilknyttede skatteforpligtelser, hvis betingelserne i artikel 38, stk. 3, i CRR er opfyldt) (negativt beløb)</w:t>
            </w:r>
          </w:p>
          <w:p w14:paraId="1047B9C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Udskudte skatteaktiver, som skyldes midlertidige forskelle (beløb over tærsklen på 10 %, fratrukket tilknyttede skatteforpligtelser, hvis betingelserne i artikel 38, stk. 3, i CRR er opfyldt), i overensstemmelse med artikel 36, stk. 1, litra c), artikel 38 og artikel 48, stk. 1, litra a), i CRR (negativt beløb).</w:t>
            </w:r>
          </w:p>
        </w:tc>
      </w:tr>
      <w:tr w:rsidR="00C85971" w:rsidRPr="007F4CC8" w14:paraId="38402C5C" w14:textId="77777777" w:rsidTr="00D819DE">
        <w:tc>
          <w:tcPr>
            <w:tcW w:w="1172" w:type="dxa"/>
            <w:vAlign w:val="center"/>
          </w:tcPr>
          <w:p w14:paraId="219B3343"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22</w:t>
            </w:r>
          </w:p>
        </w:tc>
        <w:tc>
          <w:tcPr>
            <w:tcW w:w="7242" w:type="dxa"/>
            <w:vAlign w:val="center"/>
          </w:tcPr>
          <w:p w14:paraId="5A0A5E9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Beløb, der overstiger tærsklen på 17,65 % (negativt beløb)</w:t>
            </w:r>
          </w:p>
          <w:p w14:paraId="5ADBAB1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Beløb, der overstiger tærsklen på 17,65 %, i overensstemmelse med artikel 48, stk. 1, i CRR (negativt beløb).</w:t>
            </w:r>
          </w:p>
        </w:tc>
      </w:tr>
      <w:tr w:rsidR="00C85971" w:rsidRPr="007F4CC8" w14:paraId="7F34C5C9" w14:textId="77777777" w:rsidTr="00D819DE">
        <w:tc>
          <w:tcPr>
            <w:tcW w:w="1172" w:type="dxa"/>
            <w:vAlign w:val="center"/>
          </w:tcPr>
          <w:p w14:paraId="10F2A170"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23</w:t>
            </w:r>
          </w:p>
        </w:tc>
        <w:tc>
          <w:tcPr>
            <w:tcW w:w="7242" w:type="dxa"/>
            <w:vAlign w:val="center"/>
          </w:tcPr>
          <w:p w14:paraId="4727FB43"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heraf:</w:t>
            </w:r>
            <w:r>
              <w:rPr>
                <w:sz w:val="24"/>
                <w:rFonts w:ascii="Times New Roman" w:hAnsi="Times New Roman"/>
              </w:rPr>
              <w:t xml:space="preserve"> </w:t>
            </w:r>
            <w:r>
              <w:rPr>
                <w:sz w:val="24"/>
                <w:rFonts w:ascii="Times New Roman" w:hAnsi="Times New Roman"/>
              </w:rPr>
              <w:t xml:space="preserve">instituttets direkte, indirekte og syntetiske besiddelser af egentlige kernekapitalinstrumenter i enheder i den finansielle sektor, når instituttet har væsentlige investeringer i disse enheder</w:t>
            </w:r>
          </w:p>
          <w:p w14:paraId="63DF0E4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Af beløbet i række 22 i dette skema, beløbet for direkte, indirekte og syntetiske besiddelser af egentlige kernekapitalinstrumenter i enheder i den finansielle sektor, når instituttet har væsentlige investeringer i disse enheder, i overensstemmelse med artikel 36, stk. 1, litra i), og artikel 48, stk. 1, litra b), i CRR.</w:t>
            </w:r>
          </w:p>
        </w:tc>
      </w:tr>
      <w:tr w:rsidR="00C85971" w:rsidRPr="007F4CC8" w14:paraId="0813CA46" w14:textId="77777777" w:rsidTr="00D819DE">
        <w:tc>
          <w:tcPr>
            <w:tcW w:w="1172" w:type="dxa"/>
            <w:vAlign w:val="center"/>
          </w:tcPr>
          <w:p w14:paraId="2694AF1A"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24</w:t>
            </w:r>
          </w:p>
        </w:tc>
        <w:tc>
          <w:tcPr>
            <w:tcW w:w="7242" w:type="dxa"/>
            <w:vAlign w:val="center"/>
          </w:tcPr>
          <w:p w14:paraId="310E2E52"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Ikke relevant</w:t>
            </w:r>
          </w:p>
        </w:tc>
      </w:tr>
      <w:tr w:rsidR="00C85971" w:rsidRPr="007F4CC8" w14:paraId="02EC4B80" w14:textId="77777777" w:rsidTr="00D819DE">
        <w:tc>
          <w:tcPr>
            <w:tcW w:w="1172" w:type="dxa"/>
            <w:vAlign w:val="center"/>
          </w:tcPr>
          <w:p w14:paraId="7A4381AB"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25</w:t>
            </w:r>
          </w:p>
        </w:tc>
        <w:tc>
          <w:tcPr>
            <w:tcW w:w="7242" w:type="dxa"/>
            <w:vAlign w:val="center"/>
          </w:tcPr>
          <w:p w14:paraId="0AD27DB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heraf:</w:t>
            </w:r>
            <w:r>
              <w:rPr>
                <w:sz w:val="24"/>
                <w:rFonts w:ascii="Times New Roman" w:hAnsi="Times New Roman"/>
              </w:rPr>
              <w:t xml:space="preserve"> </w:t>
            </w:r>
            <w:r>
              <w:rPr>
                <w:sz w:val="24"/>
                <w:rFonts w:ascii="Times New Roman" w:hAnsi="Times New Roman"/>
              </w:rPr>
              <w:t xml:space="preserve">udskudte skatteaktiver, som skyldes midlertidige forskelle</w:t>
            </w:r>
          </w:p>
          <w:p w14:paraId="482D0A2D"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Af beløbet i række 22 i dette skema, beløbet for udskudte skatteaktiver, som skyldes midlertidige forskelle, jf. artikel 36, stk. 1, litra c), artikel 38 og artikel 48, stk. 1, litra a), i CRR.</w:t>
            </w:r>
          </w:p>
        </w:tc>
      </w:tr>
      <w:tr w:rsidR="00C85971" w:rsidRPr="007F4CC8" w14:paraId="6B2DEE6B" w14:textId="77777777" w:rsidTr="00D819DE">
        <w:tc>
          <w:tcPr>
            <w:tcW w:w="1172" w:type="dxa"/>
            <w:vAlign w:val="center"/>
          </w:tcPr>
          <w:p w14:paraId="3E19173C"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EU-25a</w:t>
            </w:r>
          </w:p>
        </w:tc>
        <w:tc>
          <w:tcPr>
            <w:tcW w:w="7242" w:type="dxa"/>
            <w:vAlign w:val="center"/>
          </w:tcPr>
          <w:p w14:paraId="639D394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Tab i det løbende regnskabsår (negativt beløb)</w:t>
            </w:r>
          </w:p>
          <w:p w14:paraId="21AC5462"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Tab i det løbende regnskabsår , i overensstemmelse med artikel 36, stk. 1, litra a), i CRR (negativt beløb).</w:t>
            </w:r>
          </w:p>
        </w:tc>
      </w:tr>
      <w:tr w:rsidR="00C85971" w:rsidRPr="007F4CC8" w14:paraId="6ED9742F" w14:textId="77777777" w:rsidTr="00D819DE">
        <w:tc>
          <w:tcPr>
            <w:tcW w:w="1172" w:type="dxa"/>
            <w:vAlign w:val="center"/>
          </w:tcPr>
          <w:p w14:paraId="5C206F43"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EU-25b</w:t>
            </w:r>
          </w:p>
        </w:tc>
        <w:tc>
          <w:tcPr>
            <w:tcW w:w="7242" w:type="dxa"/>
            <w:vAlign w:val="center"/>
          </w:tcPr>
          <w:p w14:paraId="635948D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Forventet skat vedrørende egentlige kernekapitalposter, undtagen når instituttet behørigt tilpasser størrelsen af de egentlige kernekapitalposter, hvis skatten reducerer det beløb, hvormed disse poster kan anvendes til dækning af risici eller tab (negativt beløb)</w:t>
            </w:r>
          </w:p>
          <w:p w14:paraId="734D12D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Beløb for forventet skat vedrørende egentlige kernekapitalposter, som kan forventes på beregningstidspunktet, undtagen når instituttet behørigt tilpasser størrelsen af de egentlige kernekapitalposter, hvis skatten reducerer det beløb, hvormed disse poster kan anvendes til dækning af risici eller tab, jf. artikel 36, stk. 1, litra l), i CRR (negativt beløb).</w:t>
            </w:r>
          </w:p>
        </w:tc>
      </w:tr>
      <w:tr w:rsidR="00C85971" w:rsidRPr="007F4CC8" w14:paraId="374CCA46" w14:textId="77777777" w:rsidTr="00D819DE">
        <w:tc>
          <w:tcPr>
            <w:tcW w:w="1172" w:type="dxa"/>
            <w:vAlign w:val="center"/>
          </w:tcPr>
          <w:p w14:paraId="274B2F6E"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26</w:t>
            </w:r>
          </w:p>
        </w:tc>
        <w:tc>
          <w:tcPr>
            <w:tcW w:w="7242" w:type="dxa"/>
            <w:vAlign w:val="center"/>
          </w:tcPr>
          <w:p w14:paraId="0A674849"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Ikke relevant</w:t>
            </w:r>
          </w:p>
        </w:tc>
      </w:tr>
      <w:tr w:rsidR="00C85971" w:rsidRPr="007F4CC8" w14:paraId="7B071964" w14:textId="77777777" w:rsidTr="00D819DE">
        <w:tc>
          <w:tcPr>
            <w:tcW w:w="1172" w:type="dxa"/>
            <w:vAlign w:val="center"/>
          </w:tcPr>
          <w:p w14:paraId="17F8AA49"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27</w:t>
            </w:r>
          </w:p>
        </w:tc>
        <w:tc>
          <w:tcPr>
            <w:tcW w:w="7242" w:type="dxa"/>
            <w:vAlign w:val="center"/>
          </w:tcPr>
          <w:p w14:paraId="39A9779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Kvalificerede fradrag i hybrid kernekapital, der overstiger instituttets hybride kernekapitalposter (negativt beløb)</w:t>
            </w:r>
          </w:p>
          <w:p w14:paraId="355E3AE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Kvalificerede fradrag i hybrid kernekapital, der overstiger instituttets hybride kernekapitalposter, jf. artikel 36, stk. 1, litra j), i CRR (negativt beløb).</w:t>
            </w:r>
          </w:p>
        </w:tc>
      </w:tr>
      <w:tr w:rsidR="00C85971" w:rsidRPr="007F4CC8" w14:paraId="0C0AFC57" w14:textId="77777777" w:rsidTr="00D819DE">
        <w:tc>
          <w:tcPr>
            <w:tcW w:w="1172" w:type="dxa"/>
            <w:vAlign w:val="center"/>
          </w:tcPr>
          <w:p w14:paraId="5A66113B"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EU-27a</w:t>
            </w:r>
          </w:p>
        </w:tc>
        <w:tc>
          <w:tcPr>
            <w:tcW w:w="7242" w:type="dxa"/>
            <w:vAlign w:val="center"/>
          </w:tcPr>
          <w:p w14:paraId="18AFE0A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Andre lovpligtige justeringer</w:t>
            </w:r>
          </w:p>
          <w:p w14:paraId="2E4AF0F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Institutterne skal i denne række offentliggøre eventuelle relevante lovpligtige justeringer, der indberettes som led i tilsynsmæssig indberetning og ikke medtages i andre rækker i dette skema, herunder beløbet for IFRS 9-overgangsordninger, når det er relevant og indtil udgangen af overgangsperioden.</w:t>
            </w:r>
          </w:p>
        </w:tc>
      </w:tr>
      <w:tr w:rsidR="00C85971" w:rsidRPr="007F4CC8" w14:paraId="1E8EA207" w14:textId="77777777" w:rsidTr="00D819DE">
        <w:tc>
          <w:tcPr>
            <w:tcW w:w="1172" w:type="dxa"/>
            <w:vAlign w:val="center"/>
          </w:tcPr>
          <w:p w14:paraId="1C7F4975"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28</w:t>
            </w:r>
          </w:p>
        </w:tc>
        <w:tc>
          <w:tcPr>
            <w:tcW w:w="7242" w:type="dxa"/>
            <w:vAlign w:val="center"/>
          </w:tcPr>
          <w:p w14:paraId="5A31DBA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Samlede lovpligtige justeringer af egentlig kernekapital</w:t>
            </w:r>
          </w:p>
          <w:p w14:paraId="45C480D1"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Beregnes som summen af beløbene i række 7 til EU-20a, 21, 22 og EU-25a til EU-27a i dette skema.</w:t>
            </w:r>
          </w:p>
        </w:tc>
      </w:tr>
      <w:tr w:rsidR="00C85971" w:rsidRPr="007F4CC8" w14:paraId="56BD07BE" w14:textId="77777777" w:rsidTr="00D819DE">
        <w:tc>
          <w:tcPr>
            <w:tcW w:w="1172" w:type="dxa"/>
            <w:vAlign w:val="center"/>
          </w:tcPr>
          <w:p w14:paraId="60EAA0B0"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29</w:t>
            </w:r>
          </w:p>
        </w:tc>
        <w:tc>
          <w:tcPr>
            <w:tcW w:w="7242" w:type="dxa"/>
            <w:vAlign w:val="center"/>
          </w:tcPr>
          <w:p w14:paraId="242357F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Egentlig kernekapital</w:t>
            </w:r>
          </w:p>
          <w:p w14:paraId="7AF2FC11" w14:textId="77777777" w:rsidR="00C85971" w:rsidRPr="007F4CC8" w:rsidRDefault="00C85971" w:rsidP="00D819DE">
            <w:pPr>
              <w:spacing w:after="200"/>
              <w:jc w:val="both"/>
              <w:rPr>
                <w:sz w:val="24"/>
                <w:rFonts w:ascii="Times New Roman" w:hAnsi="Times New Roman"/>
              </w:rPr>
            </w:pPr>
            <w:r>
              <w:rPr>
                <w:sz w:val="24"/>
                <w:rFonts w:ascii="Times New Roman" w:hAnsi="Times New Roman"/>
              </w:rPr>
              <w:t xml:space="preserve">Beregnes som række 6 minus række 28 i dette skema.</w:t>
            </w:r>
          </w:p>
        </w:tc>
      </w:tr>
      <w:tr w:rsidR="00C85971" w:rsidRPr="007F4CC8" w14:paraId="1DF5C941" w14:textId="77777777" w:rsidTr="00D819DE">
        <w:tc>
          <w:tcPr>
            <w:tcW w:w="1172" w:type="dxa"/>
            <w:vAlign w:val="center"/>
          </w:tcPr>
          <w:p w14:paraId="2CDEEFB2"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30</w:t>
            </w:r>
          </w:p>
        </w:tc>
        <w:tc>
          <w:tcPr>
            <w:tcW w:w="7242" w:type="dxa"/>
            <w:vAlign w:val="center"/>
          </w:tcPr>
          <w:p w14:paraId="7F9E5A2D"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Kapitalinstrumenter og overkurs ved emission i tilknytning hertil</w:t>
            </w:r>
          </w:p>
          <w:p w14:paraId="78F65A5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Kapitalinstrumenter og overkurs ved emission i tilknytning hertil, jf. artikel 51 og 52 i CRR.</w:t>
            </w:r>
          </w:p>
        </w:tc>
      </w:tr>
      <w:tr w:rsidR="00C85971" w:rsidRPr="007F4CC8" w14:paraId="74B53E8B" w14:textId="77777777" w:rsidTr="00D819DE">
        <w:tc>
          <w:tcPr>
            <w:tcW w:w="1172" w:type="dxa"/>
            <w:vAlign w:val="center"/>
          </w:tcPr>
          <w:p w14:paraId="793674E3"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31</w:t>
            </w:r>
          </w:p>
        </w:tc>
        <w:tc>
          <w:tcPr>
            <w:tcW w:w="7242" w:type="dxa"/>
            <w:vAlign w:val="center"/>
          </w:tcPr>
          <w:p w14:paraId="392F2419"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heraf:</w:t>
            </w:r>
            <w:r>
              <w:rPr>
                <w:sz w:val="24"/>
                <w:rFonts w:ascii="Times New Roman" w:hAnsi="Times New Roman"/>
              </w:rPr>
              <w:t xml:space="preserve"> </w:t>
            </w:r>
            <w:r>
              <w:rPr>
                <w:sz w:val="24"/>
                <w:rFonts w:ascii="Times New Roman" w:hAnsi="Times New Roman"/>
              </w:rPr>
              <w:t xml:space="preserve">klassificeret som egenkapital i henhold til de gældende regnskabsstandarder</w:t>
            </w:r>
          </w:p>
          <w:p w14:paraId="6088A1D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Beløbet i række 30 i dette skema klassificeret som egenkapital i henhold til de gældende regnskabsstandarder.</w:t>
            </w:r>
          </w:p>
        </w:tc>
      </w:tr>
      <w:tr w:rsidR="00C85971" w:rsidRPr="007F4CC8" w14:paraId="2271173B" w14:textId="77777777" w:rsidTr="00D819DE">
        <w:tc>
          <w:tcPr>
            <w:tcW w:w="1172" w:type="dxa"/>
            <w:vAlign w:val="center"/>
          </w:tcPr>
          <w:p w14:paraId="682D565A"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32</w:t>
            </w:r>
          </w:p>
        </w:tc>
        <w:tc>
          <w:tcPr>
            <w:tcW w:w="7242" w:type="dxa"/>
            <w:vAlign w:val="center"/>
          </w:tcPr>
          <w:p w14:paraId="2E569E4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heraf:</w:t>
            </w:r>
            <w:r>
              <w:rPr>
                <w:sz w:val="24"/>
                <w:rFonts w:ascii="Times New Roman" w:hAnsi="Times New Roman"/>
              </w:rPr>
              <w:t xml:space="preserve"> </w:t>
            </w:r>
            <w:r>
              <w:rPr>
                <w:sz w:val="24"/>
                <w:rFonts w:ascii="Times New Roman" w:hAnsi="Times New Roman"/>
              </w:rPr>
              <w:t xml:space="preserve">klassificeret som forpligtelser i henhold til de gældende regnskabsstandarder</w:t>
            </w:r>
          </w:p>
          <w:p w14:paraId="4C02CCA1"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Beløbet i række 30 i dette skema klassificeret som forpligtelser i henhold til de gældende regnskabsstandarder.</w:t>
            </w:r>
          </w:p>
        </w:tc>
      </w:tr>
      <w:tr w:rsidR="00C85971" w:rsidRPr="007F4CC8" w14:paraId="62AD6DB4" w14:textId="77777777" w:rsidTr="00D819DE">
        <w:tc>
          <w:tcPr>
            <w:tcW w:w="1172" w:type="dxa"/>
            <w:vAlign w:val="center"/>
          </w:tcPr>
          <w:p w14:paraId="6794E4A2"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33</w:t>
            </w:r>
          </w:p>
        </w:tc>
        <w:tc>
          <w:tcPr>
            <w:tcW w:w="7242" w:type="dxa"/>
            <w:vAlign w:val="center"/>
          </w:tcPr>
          <w:p w14:paraId="56140F8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Beløb for kvalificerede poster omhandlet i artikel 484, stk. 4, i CRR og overkurs ved emission i tilknytning hertil underlagt udfasning fra hybrid kernekapital</w:t>
            </w:r>
          </w:p>
          <w:p w14:paraId="5AA40DA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Beløbet for kvalificerede poster omhandlet i artikel 484, stk. 4, i CRR og overkurs ved emission i tilknytning hertil underlagt udfasning fra hybrid kernekapital, jf. artikel 486, stk. 3, i CRR.</w:t>
            </w:r>
          </w:p>
        </w:tc>
      </w:tr>
      <w:tr w:rsidR="00C85971" w:rsidRPr="007F4CC8" w14:paraId="35D70960" w14:textId="77777777" w:rsidTr="00D819DE">
        <w:tc>
          <w:tcPr>
            <w:tcW w:w="1172" w:type="dxa"/>
            <w:vAlign w:val="center"/>
          </w:tcPr>
          <w:p w14:paraId="325673A6"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EU-33a</w:t>
            </w:r>
          </w:p>
        </w:tc>
        <w:tc>
          <w:tcPr>
            <w:tcW w:w="7242" w:type="dxa"/>
            <w:vAlign w:val="center"/>
          </w:tcPr>
          <w:p w14:paraId="399F784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Beløb for kvalificerede poster omhandlet i artikel 494a, stk. 1, i CRR underlagt udfasning fra hybrid kernekapital</w:t>
            </w:r>
          </w:p>
        </w:tc>
      </w:tr>
      <w:tr w:rsidR="00C85971" w:rsidRPr="007F4CC8" w14:paraId="797F5B5C" w14:textId="77777777" w:rsidTr="00D819DE">
        <w:tc>
          <w:tcPr>
            <w:tcW w:w="1172" w:type="dxa"/>
            <w:vAlign w:val="center"/>
          </w:tcPr>
          <w:p w14:paraId="158F74D4"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EU-33b</w:t>
            </w:r>
          </w:p>
        </w:tc>
        <w:tc>
          <w:tcPr>
            <w:tcW w:w="7242" w:type="dxa"/>
            <w:vAlign w:val="center"/>
          </w:tcPr>
          <w:p w14:paraId="3B81B166"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Beløb for kvalificerede poster omhandlet i artikel 494b, stk. 1, i CRR underlagt udfasning fra hybrid kernekapital</w:t>
            </w:r>
          </w:p>
        </w:tc>
      </w:tr>
      <w:tr w:rsidR="00C85971" w:rsidRPr="007F4CC8" w14:paraId="665D488C" w14:textId="77777777" w:rsidTr="00D819DE">
        <w:tc>
          <w:tcPr>
            <w:tcW w:w="1172" w:type="dxa"/>
            <w:vAlign w:val="center"/>
          </w:tcPr>
          <w:p w14:paraId="25E0D94D"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34</w:t>
            </w:r>
          </w:p>
        </w:tc>
        <w:tc>
          <w:tcPr>
            <w:tcW w:w="7242" w:type="dxa"/>
            <w:vAlign w:val="center"/>
          </w:tcPr>
          <w:p w14:paraId="3DFD22A2"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Kvalificerende kernekapital indregnet i den konsoliderede hybride kernekapital (herunder minoritetsinteresser, der ikke er indregnet i række 5), som er udstedt af datterselskaber og indehaves af tredjemand</w:t>
            </w:r>
          </w:p>
          <w:p w14:paraId="33267B8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Kvalificerende kernekapital indregnet i den konsoliderede hybride kernekapital (herunder minoritetsinteresser, der ikke er indregnet i række 5 i dette skema), som er udstedt af datterselskaber og indehaves af tredjemand, jf. artikel 85 og 86 i CRR.</w:t>
            </w:r>
          </w:p>
        </w:tc>
      </w:tr>
      <w:tr w:rsidR="00C85971" w:rsidRPr="007F4CC8" w14:paraId="6BC866FC" w14:textId="77777777" w:rsidTr="00D819DE">
        <w:tc>
          <w:tcPr>
            <w:tcW w:w="1172" w:type="dxa"/>
            <w:vAlign w:val="center"/>
          </w:tcPr>
          <w:p w14:paraId="23B51BA5"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35</w:t>
            </w:r>
          </w:p>
        </w:tc>
        <w:tc>
          <w:tcPr>
            <w:tcW w:w="7242" w:type="dxa"/>
            <w:vAlign w:val="center"/>
          </w:tcPr>
          <w:p w14:paraId="75F25B49"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heraf:</w:t>
            </w:r>
            <w:r>
              <w:rPr>
                <w:sz w:val="24"/>
                <w:rFonts w:ascii="Times New Roman" w:hAnsi="Times New Roman"/>
              </w:rPr>
              <w:t xml:space="preserve"> </w:t>
            </w:r>
            <w:r>
              <w:rPr>
                <w:sz w:val="24"/>
                <w:rFonts w:ascii="Times New Roman" w:hAnsi="Times New Roman"/>
              </w:rPr>
              <w:t xml:space="preserve">instrumenter udstedt af datterselskaber og underlagt udfasning</w:t>
            </w:r>
          </w:p>
          <w:p w14:paraId="6DA4F142"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Beløbet i række 34 i dette skema, der vedrører instrumenter, som er udstedt af datterselskaber og underlagt udfasning, jf. artikel 486, stk. 3, i CRR.</w:t>
            </w:r>
          </w:p>
        </w:tc>
      </w:tr>
      <w:tr w:rsidR="00C85971" w:rsidRPr="007F4CC8" w14:paraId="3D629E2A" w14:textId="77777777" w:rsidTr="00D819DE">
        <w:tc>
          <w:tcPr>
            <w:tcW w:w="1172" w:type="dxa"/>
            <w:vAlign w:val="center"/>
          </w:tcPr>
          <w:p w14:paraId="0223D50D"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36</w:t>
            </w:r>
          </w:p>
        </w:tc>
        <w:tc>
          <w:tcPr>
            <w:tcW w:w="7242" w:type="dxa"/>
            <w:vAlign w:val="center"/>
          </w:tcPr>
          <w:p w14:paraId="33B0FEC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Hybrid kernekapital før lovpligtige justeringer</w:t>
            </w:r>
          </w:p>
          <w:p w14:paraId="282C0FB0"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Summen af beløbene i række 30, 33, EU-33a, EU-33b og 34 i dette skema.</w:t>
            </w:r>
          </w:p>
        </w:tc>
      </w:tr>
      <w:tr w:rsidR="00C85971" w:rsidRPr="007F4CC8" w14:paraId="09436136" w14:textId="77777777" w:rsidTr="00D819DE">
        <w:tc>
          <w:tcPr>
            <w:tcW w:w="1172" w:type="dxa"/>
            <w:vAlign w:val="center"/>
          </w:tcPr>
          <w:p w14:paraId="0B5A9930"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37</w:t>
            </w:r>
          </w:p>
        </w:tc>
        <w:tc>
          <w:tcPr>
            <w:tcW w:w="7242" w:type="dxa"/>
            <w:vAlign w:val="center"/>
          </w:tcPr>
          <w:p w14:paraId="2DB37771"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Et instituts direkte, indirekte og syntetiske besiddelser af egne hybride kernekapitalinstrumenter (negativt beløb)</w:t>
            </w:r>
          </w:p>
          <w:p w14:paraId="58F9FBF2"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Et instituts direkte, indirekte og syntetiske besiddelser af egne hybride kernekapitalinstrumenter, jf. artikel 52, stk. 1, litra b), artikel 56, litra a), og artikel 57 i CRR (negativt beløb).</w:t>
            </w:r>
          </w:p>
        </w:tc>
      </w:tr>
      <w:tr w:rsidR="00C85971" w:rsidRPr="007F4CC8" w14:paraId="66530AD0" w14:textId="77777777" w:rsidTr="00D819DE">
        <w:tc>
          <w:tcPr>
            <w:tcW w:w="1172" w:type="dxa"/>
            <w:vAlign w:val="center"/>
          </w:tcPr>
          <w:p w14:paraId="78F5167A"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38</w:t>
            </w:r>
          </w:p>
        </w:tc>
        <w:tc>
          <w:tcPr>
            <w:tcW w:w="7242" w:type="dxa"/>
            <w:vAlign w:val="center"/>
          </w:tcPr>
          <w:p w14:paraId="6D6C398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Direkte, indirekte og syntetiske besiddelser af hybride kernekapitalinstrumenter i enheder i den finansielle sektor, når disse enheder har en besiddelse i krydsejerskab med instituttet, og ejerskabet er blevet indgået for kunstigt at øge instituttets kapitalgrundlag (negativt beløb)</w:t>
            </w:r>
          </w:p>
          <w:p w14:paraId="6BE90AD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Direkte, indirekte og syntetiske besiddelser af hybride kernekapitalinstrumenter i enheder i den finansielle sektor, når disse enheder har en besiddelse i krydsejerskab med instituttet, og ejerskabet er blevet indgået for kunstigt at øge instituttets kapitalgrundlag, jf. artikel 56, litra b), og artikel 58 i CRR (negativt beløb).</w:t>
            </w:r>
          </w:p>
        </w:tc>
      </w:tr>
      <w:tr w:rsidR="00C85971" w:rsidRPr="007F4CC8" w14:paraId="2E049DFF" w14:textId="77777777" w:rsidTr="00D819DE">
        <w:tc>
          <w:tcPr>
            <w:tcW w:w="1172" w:type="dxa"/>
            <w:vAlign w:val="center"/>
          </w:tcPr>
          <w:p w14:paraId="1AD2CCDE"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39</w:t>
            </w:r>
          </w:p>
        </w:tc>
        <w:tc>
          <w:tcPr>
            <w:tcW w:w="7242" w:type="dxa"/>
            <w:vAlign w:val="center"/>
          </w:tcPr>
          <w:p w14:paraId="240A2B6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Direkte, indirekte og syntetiske besiddelser af hybride kernekapitalinstrumenter i enheder i den finansielle sektor, når instituttet ikke har væsentlige investeringer i disse enheder (beløb over tærsklen på 10 % og fratrukket anerkendte korte positioner) (negativt beløb)</w:t>
            </w:r>
          </w:p>
          <w:p w14:paraId="3530D91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Direkte, indirekte og syntetiske besiddelser af hybride kernekapitalinstrumenter i enheder i den finansielle sektor, når instituttet ikke har væsentlige investeringer i disse enheder (beløb over tærsklen på 10 % og fratrukket anerkendte korte positioner), jf. artikel 56, litra c), artikel 59, artikel 60 og artikel 79 i CRR (negativt beløb).</w:t>
            </w:r>
          </w:p>
        </w:tc>
      </w:tr>
      <w:tr w:rsidR="00C85971" w:rsidRPr="007F4CC8" w14:paraId="5BFE8669" w14:textId="77777777" w:rsidTr="00D819DE">
        <w:tc>
          <w:tcPr>
            <w:tcW w:w="1172" w:type="dxa"/>
            <w:vAlign w:val="center"/>
          </w:tcPr>
          <w:p w14:paraId="022E0F4A"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40</w:t>
            </w:r>
          </w:p>
        </w:tc>
        <w:tc>
          <w:tcPr>
            <w:tcW w:w="7242" w:type="dxa"/>
            <w:vAlign w:val="center"/>
          </w:tcPr>
          <w:p w14:paraId="3C0D4095"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Instituttets direkte, indirekte og syntetiske besiddelser af hybride kernekapitalinstrumenter i enheder i den finansielle sektor, når instituttet har væsentlige investeringer i disse enheder (fratrukket anerkendte korte positioner) (negativt beløb)</w:t>
            </w:r>
          </w:p>
          <w:p w14:paraId="63735E89"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Direkte, indirekte og syntetiske besiddelser af hybride kernekapitalinstrumenter i enheder i den finansielle sektor, når instituttet har væsentlige investeringer i disse enheder (fratrukket anerkendte korte positioner), jf. artikel 56, litra d), artikel 59 og artikel 79 i CRR (negativt beløb).</w:t>
            </w:r>
          </w:p>
        </w:tc>
      </w:tr>
      <w:tr w:rsidR="00C85971" w:rsidRPr="007F4CC8" w14:paraId="5CE6BE67" w14:textId="77777777" w:rsidTr="00D819DE">
        <w:tc>
          <w:tcPr>
            <w:tcW w:w="1172" w:type="dxa"/>
            <w:vAlign w:val="center"/>
          </w:tcPr>
          <w:p w14:paraId="4E773F6A"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41</w:t>
            </w:r>
          </w:p>
        </w:tc>
        <w:tc>
          <w:tcPr>
            <w:tcW w:w="7242" w:type="dxa"/>
            <w:vAlign w:val="center"/>
          </w:tcPr>
          <w:p w14:paraId="4FC8941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Ikke relevant</w:t>
            </w:r>
          </w:p>
        </w:tc>
      </w:tr>
      <w:tr w:rsidR="00C85971" w:rsidRPr="007F4CC8" w14:paraId="0AAFA270" w14:textId="77777777" w:rsidTr="00D819DE">
        <w:tc>
          <w:tcPr>
            <w:tcW w:w="1172" w:type="dxa"/>
            <w:vAlign w:val="center"/>
          </w:tcPr>
          <w:p w14:paraId="1B235328"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42</w:t>
            </w:r>
          </w:p>
        </w:tc>
        <w:tc>
          <w:tcPr>
            <w:tcW w:w="7242" w:type="dxa"/>
            <w:vAlign w:val="center"/>
          </w:tcPr>
          <w:p w14:paraId="3539E1ED"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Kvalificerede fradrag i supplerende kapital, der overstiger instituttets supplerende kapitalposter (negativt beløb)</w:t>
            </w:r>
          </w:p>
          <w:p w14:paraId="089D0403"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Kvalificerede fradrag i supplerende kapital, der overstiger instituttets supplerende kapitalposter, jf. artikel 56, litra e), i CRR (negativt beløb).</w:t>
            </w:r>
          </w:p>
        </w:tc>
      </w:tr>
      <w:tr w:rsidR="00C85971" w:rsidRPr="007F4CC8" w14:paraId="6B7A2BD2" w14:textId="77777777" w:rsidTr="00D819DE">
        <w:tc>
          <w:tcPr>
            <w:tcW w:w="1172" w:type="dxa"/>
            <w:vAlign w:val="center"/>
          </w:tcPr>
          <w:p w14:paraId="0EF750C6"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Eu-42a</w:t>
            </w:r>
          </w:p>
        </w:tc>
        <w:tc>
          <w:tcPr>
            <w:tcW w:w="7242" w:type="dxa"/>
            <w:vAlign w:val="center"/>
          </w:tcPr>
          <w:p w14:paraId="40E2643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Andre lovpligtige justeringer af den hybride kernekapital</w:t>
            </w:r>
          </w:p>
          <w:p w14:paraId="482C6DB9"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Institutterne skal i denne række offentliggøre eventuelle relevante lovpligtige justeringer, der indberettes som led i tilsynsmæssig indberetning og ikke medtages i andre rækker i dette skema.</w:t>
            </w:r>
          </w:p>
        </w:tc>
      </w:tr>
      <w:tr w:rsidR="00C85971" w:rsidRPr="007F4CC8" w14:paraId="08AEFC48" w14:textId="77777777" w:rsidTr="00D819DE">
        <w:tc>
          <w:tcPr>
            <w:tcW w:w="1172" w:type="dxa"/>
            <w:vAlign w:val="center"/>
          </w:tcPr>
          <w:p w14:paraId="48EFFA6B"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43</w:t>
            </w:r>
          </w:p>
        </w:tc>
        <w:tc>
          <w:tcPr>
            <w:tcW w:w="7242" w:type="dxa"/>
            <w:vAlign w:val="center"/>
          </w:tcPr>
          <w:p w14:paraId="3966C0B3"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Samlede lovpligtige justeringer af hybrid kernekapital</w:t>
            </w:r>
          </w:p>
          <w:p w14:paraId="35FB6719"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Summen af beløbene i række 37 til EU-42a i dette skema.</w:t>
            </w:r>
          </w:p>
        </w:tc>
      </w:tr>
      <w:tr w:rsidR="00C85971" w:rsidRPr="007F4CC8" w14:paraId="1134A6E3" w14:textId="77777777" w:rsidTr="00D819DE">
        <w:tc>
          <w:tcPr>
            <w:tcW w:w="1172" w:type="dxa"/>
            <w:vAlign w:val="center"/>
          </w:tcPr>
          <w:p w14:paraId="3C111399"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44</w:t>
            </w:r>
          </w:p>
        </w:tc>
        <w:tc>
          <w:tcPr>
            <w:tcW w:w="7242" w:type="dxa"/>
            <w:vAlign w:val="center"/>
          </w:tcPr>
          <w:p w14:paraId="7629AC52"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Hybrid kernekapital</w:t>
            </w:r>
          </w:p>
          <w:p w14:paraId="37C4BA87" w14:textId="77777777" w:rsidR="00C85971" w:rsidRPr="007F4CC8" w:rsidRDefault="00C85971" w:rsidP="00D819DE">
            <w:pPr>
              <w:spacing w:after="200"/>
              <w:jc w:val="both"/>
              <w:rPr>
                <w:sz w:val="24"/>
                <w:rFonts w:ascii="Times New Roman" w:hAnsi="Times New Roman"/>
              </w:rPr>
            </w:pPr>
            <w:r>
              <w:rPr>
                <w:sz w:val="24"/>
                <w:rFonts w:ascii="Times New Roman" w:hAnsi="Times New Roman"/>
              </w:rPr>
              <w:t xml:space="preserve">Hybrid kernekapital, der beregnes som række 36 minus række 43 i dette skema.</w:t>
            </w:r>
          </w:p>
        </w:tc>
      </w:tr>
      <w:tr w:rsidR="00C85971" w:rsidRPr="007F4CC8" w14:paraId="58B57B34" w14:textId="77777777" w:rsidTr="00D819DE">
        <w:tc>
          <w:tcPr>
            <w:tcW w:w="1172" w:type="dxa"/>
            <w:vAlign w:val="center"/>
          </w:tcPr>
          <w:p w14:paraId="2BF2FDC6"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45</w:t>
            </w:r>
          </w:p>
        </w:tc>
        <w:tc>
          <w:tcPr>
            <w:tcW w:w="7242" w:type="dxa"/>
            <w:vAlign w:val="center"/>
          </w:tcPr>
          <w:p w14:paraId="23FE6E52" w14:textId="77777777" w:rsidR="00C85971" w:rsidRPr="00DD0C4D" w:rsidRDefault="00C85971" w:rsidP="00D819DE">
            <w:pPr>
              <w:spacing w:after="200"/>
              <w:jc w:val="both"/>
              <w:rPr>
                <w:sz w:val="24"/>
                <w:rFonts w:ascii="Times New Roman" w:hAnsi="Times New Roman" w:cs="Times New Roman"/>
              </w:rPr>
            </w:pPr>
            <w:r>
              <w:rPr>
                <w:sz w:val="24"/>
                <w:rFonts w:ascii="Times New Roman" w:hAnsi="Times New Roman"/>
              </w:rPr>
              <w:t xml:space="preserve">Kernekapital (kernekapital = egentlig kernekapital + hybrid kernekapital)</w:t>
            </w:r>
          </w:p>
          <w:p w14:paraId="72DB0E03" w14:textId="77777777" w:rsidR="00C85971" w:rsidRPr="007F4CC8" w:rsidRDefault="00C85971" w:rsidP="00D819DE">
            <w:pPr>
              <w:spacing w:after="200"/>
              <w:jc w:val="both"/>
              <w:rPr>
                <w:sz w:val="24"/>
                <w:rFonts w:ascii="Times New Roman" w:hAnsi="Times New Roman"/>
              </w:rPr>
            </w:pPr>
            <w:r>
              <w:rPr>
                <w:sz w:val="24"/>
                <w:rFonts w:ascii="Times New Roman" w:hAnsi="Times New Roman"/>
              </w:rPr>
              <w:t xml:space="preserve">Kernekapital, der beregnes som række 29 plus række 44 i dette skema.</w:t>
            </w:r>
          </w:p>
        </w:tc>
      </w:tr>
      <w:tr w:rsidR="00C85971" w:rsidRPr="007F4CC8" w14:paraId="12D4B8D6" w14:textId="77777777" w:rsidTr="00D819DE">
        <w:tc>
          <w:tcPr>
            <w:tcW w:w="1172" w:type="dxa"/>
            <w:vAlign w:val="center"/>
          </w:tcPr>
          <w:p w14:paraId="45446C4E"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46</w:t>
            </w:r>
          </w:p>
        </w:tc>
        <w:tc>
          <w:tcPr>
            <w:tcW w:w="7242" w:type="dxa"/>
            <w:vAlign w:val="center"/>
          </w:tcPr>
          <w:p w14:paraId="6CFBD42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Kapitalinstrumenter og overkurs ved emission i tilknytning hertil</w:t>
            </w:r>
          </w:p>
          <w:p w14:paraId="140805D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Kapitalinstrumenter og overkurs ved emission i tilknytning hertil, jf. artikel 62 og 63 i CRR.</w:t>
            </w:r>
          </w:p>
        </w:tc>
      </w:tr>
      <w:tr w:rsidR="00C85971" w:rsidRPr="007F4CC8" w14:paraId="2D90A860" w14:textId="77777777" w:rsidTr="00D819DE">
        <w:tc>
          <w:tcPr>
            <w:tcW w:w="1172" w:type="dxa"/>
            <w:vAlign w:val="center"/>
          </w:tcPr>
          <w:p w14:paraId="05C3B845"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47</w:t>
            </w:r>
          </w:p>
        </w:tc>
        <w:tc>
          <w:tcPr>
            <w:tcW w:w="7242" w:type="dxa"/>
            <w:vAlign w:val="center"/>
          </w:tcPr>
          <w:p w14:paraId="4080F05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Beløbet for kvalificerede poster omhandlet i artikel 484, stk. 5, i CRR og overkurs ved emission i tilknytning hertil underlagt udfasning fra supplerende kapital, jf. artikel 486, stk. 4, i CRR.</w:t>
            </w:r>
          </w:p>
        </w:tc>
      </w:tr>
      <w:tr w:rsidR="00C85971" w:rsidRPr="007F4CC8" w14:paraId="072DFB14" w14:textId="77777777" w:rsidTr="00D819DE">
        <w:tc>
          <w:tcPr>
            <w:tcW w:w="1172" w:type="dxa"/>
            <w:vAlign w:val="center"/>
          </w:tcPr>
          <w:p w14:paraId="219826E5"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EU-47a</w:t>
            </w:r>
          </w:p>
        </w:tc>
        <w:tc>
          <w:tcPr>
            <w:tcW w:w="7242" w:type="dxa"/>
            <w:vAlign w:val="center"/>
          </w:tcPr>
          <w:p w14:paraId="6518E59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Beløb for kvalificerede poster omhandlet i artikel 494a, stk. 2, i CRR underlagt udfasning fra supplerende kapital.</w:t>
            </w:r>
          </w:p>
        </w:tc>
      </w:tr>
      <w:tr w:rsidR="00C85971" w:rsidRPr="007F4CC8" w14:paraId="662FF1A8" w14:textId="77777777" w:rsidTr="00D819DE">
        <w:tc>
          <w:tcPr>
            <w:tcW w:w="1172" w:type="dxa"/>
            <w:vAlign w:val="center"/>
          </w:tcPr>
          <w:p w14:paraId="0A05DA7A"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EU-47b</w:t>
            </w:r>
          </w:p>
        </w:tc>
        <w:tc>
          <w:tcPr>
            <w:tcW w:w="7242" w:type="dxa"/>
            <w:vAlign w:val="center"/>
          </w:tcPr>
          <w:p w14:paraId="1D9B343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Beløb for kvalificerede poster omhandlet i artikel 494b, stk. 2, i CRR underlagt udfasning fra supplerende kapital.</w:t>
            </w:r>
          </w:p>
        </w:tc>
      </w:tr>
      <w:tr w:rsidR="00C85971" w:rsidRPr="007F4CC8" w14:paraId="7AA9A4D1" w14:textId="77777777" w:rsidTr="00D819DE">
        <w:tc>
          <w:tcPr>
            <w:tcW w:w="1172" w:type="dxa"/>
            <w:vAlign w:val="center"/>
          </w:tcPr>
          <w:p w14:paraId="5856B0A4"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48</w:t>
            </w:r>
          </w:p>
        </w:tc>
        <w:tc>
          <w:tcPr>
            <w:tcW w:w="7242" w:type="dxa"/>
            <w:vAlign w:val="center"/>
          </w:tcPr>
          <w:p w14:paraId="10C3720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Kvalificerende kapitalgrundlagsinstrumenter indregnet i konsolideret supplerende kapital (herunder minoritetsinteresser og hybride kernekapitalinstrumenter, der ikke medtages i række 5 eller 34), som er udstedt af datterselskaber og indehaves af tredjemand.</w:t>
            </w:r>
          </w:p>
          <w:p w14:paraId="34FA1FF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Kvalificerende kapitalgrundlagsinstrumenter indregnet i konsolideret supplerende kapital (herunder minoritetsinteresser og hybride kernekapitalinstrumenter, der ikke medtages i række 5 eller 34 i dette skema), som er udstedt af datterselskaber og indehaves af tredjemand, jf. artikel 87 og 88 i CRR.</w:t>
            </w:r>
          </w:p>
        </w:tc>
      </w:tr>
      <w:tr w:rsidR="00C85971" w:rsidRPr="007F4CC8" w14:paraId="7CF5EC35" w14:textId="77777777" w:rsidTr="00D819DE">
        <w:tc>
          <w:tcPr>
            <w:tcW w:w="1172" w:type="dxa"/>
            <w:vAlign w:val="center"/>
          </w:tcPr>
          <w:p w14:paraId="5924CE73"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49</w:t>
            </w:r>
          </w:p>
        </w:tc>
        <w:tc>
          <w:tcPr>
            <w:tcW w:w="7242" w:type="dxa"/>
            <w:vAlign w:val="center"/>
          </w:tcPr>
          <w:p w14:paraId="7410FA99"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heraf:</w:t>
            </w:r>
            <w:r>
              <w:rPr>
                <w:sz w:val="24"/>
                <w:rFonts w:ascii="Times New Roman" w:hAnsi="Times New Roman"/>
              </w:rPr>
              <w:t xml:space="preserve"> </w:t>
            </w:r>
            <w:r>
              <w:rPr>
                <w:sz w:val="24"/>
                <w:rFonts w:ascii="Times New Roman" w:hAnsi="Times New Roman"/>
              </w:rPr>
              <w:t xml:space="preserve">instrumenter udstedt af datterselskaber og underlagt udfasning</w:t>
            </w:r>
          </w:p>
          <w:p w14:paraId="4A6AC43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Af beløbet i række 48, det beløb, der vedrører instrumenter, som er udstedt af datterselskaber og underlagt udfasning, jf. artikel 486, stk. 4, i CRR.</w:t>
            </w:r>
          </w:p>
        </w:tc>
      </w:tr>
      <w:tr w:rsidR="00C85971" w:rsidRPr="007F4CC8" w14:paraId="2405178D" w14:textId="77777777" w:rsidTr="00D819DE">
        <w:tc>
          <w:tcPr>
            <w:tcW w:w="1172" w:type="dxa"/>
            <w:vAlign w:val="center"/>
          </w:tcPr>
          <w:p w14:paraId="0173ADFC"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50</w:t>
            </w:r>
          </w:p>
        </w:tc>
        <w:tc>
          <w:tcPr>
            <w:tcW w:w="7242" w:type="dxa"/>
            <w:vAlign w:val="center"/>
          </w:tcPr>
          <w:p w14:paraId="4DE6526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Kreditrisikojusteringer</w:t>
            </w:r>
          </w:p>
          <w:p w14:paraId="17F4C3B8"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Kreditrisikojusteringer i overensstemmelse med artikel 62, litra c) og d), i CRR.</w:t>
            </w:r>
          </w:p>
        </w:tc>
      </w:tr>
      <w:tr w:rsidR="00C85971" w:rsidRPr="007F4CC8" w14:paraId="1C2C753C" w14:textId="77777777" w:rsidTr="00D819DE">
        <w:tc>
          <w:tcPr>
            <w:tcW w:w="1172" w:type="dxa"/>
            <w:vAlign w:val="center"/>
          </w:tcPr>
          <w:p w14:paraId="72654E6B"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51</w:t>
            </w:r>
          </w:p>
        </w:tc>
        <w:tc>
          <w:tcPr>
            <w:tcW w:w="7242" w:type="dxa"/>
            <w:vAlign w:val="center"/>
          </w:tcPr>
          <w:p w14:paraId="337E42AD"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Supplerende kapital før lovpligtige justeringer</w:t>
            </w:r>
          </w:p>
          <w:p w14:paraId="0DD0BE98" w14:textId="77777777" w:rsidR="00C85971" w:rsidRPr="007F4CC8" w:rsidRDefault="00C85971" w:rsidP="00D819DE">
            <w:pPr>
              <w:spacing w:after="200"/>
              <w:jc w:val="both"/>
              <w:rPr>
                <w:sz w:val="24"/>
                <w:rFonts w:ascii="Times New Roman" w:hAnsi="Times New Roman"/>
              </w:rPr>
            </w:pPr>
            <w:r>
              <w:rPr>
                <w:sz w:val="24"/>
                <w:rFonts w:ascii="Times New Roman" w:hAnsi="Times New Roman"/>
              </w:rPr>
              <w:t xml:space="preserve">Summen af beløbene i række 46 til 48 og række 50 i dette skema.</w:t>
            </w:r>
          </w:p>
        </w:tc>
      </w:tr>
      <w:tr w:rsidR="00C85971" w:rsidRPr="007F4CC8" w14:paraId="31904690" w14:textId="77777777" w:rsidTr="00D819DE">
        <w:tc>
          <w:tcPr>
            <w:tcW w:w="1172" w:type="dxa"/>
            <w:vAlign w:val="center"/>
          </w:tcPr>
          <w:p w14:paraId="709A321F"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52</w:t>
            </w:r>
          </w:p>
        </w:tc>
        <w:tc>
          <w:tcPr>
            <w:tcW w:w="7242" w:type="dxa"/>
            <w:vAlign w:val="center"/>
          </w:tcPr>
          <w:p w14:paraId="6681B95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Et instituts direkte, indirekte og syntetiske besiddelser af egne supplerende kapitalinstrumenter og efterstillede lån (negativt beløb)</w:t>
            </w:r>
          </w:p>
          <w:p w14:paraId="19B0E00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Et instituts direkte, indirekte og syntetiske besiddelser af egne supplerende kapitalinstrumenter og efterstillede lån, jf. artikel 63, litra b), nr. i), artikel 66, litra a), og artikel 67 i CRR (negativt beløb).</w:t>
            </w:r>
          </w:p>
        </w:tc>
      </w:tr>
      <w:tr w:rsidR="00C85971" w:rsidRPr="007F4CC8" w14:paraId="6EFA8D4D" w14:textId="77777777" w:rsidTr="00D819DE">
        <w:tc>
          <w:tcPr>
            <w:tcW w:w="1172" w:type="dxa"/>
            <w:vAlign w:val="center"/>
          </w:tcPr>
          <w:p w14:paraId="06EFD51D"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53</w:t>
            </w:r>
          </w:p>
        </w:tc>
        <w:tc>
          <w:tcPr>
            <w:tcW w:w="7242" w:type="dxa"/>
            <w:vAlign w:val="center"/>
          </w:tcPr>
          <w:p w14:paraId="39CF61F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Direkte, indirekte og syntetiske besiddelser af supplerende kapitalinstrumenter og efterstillede lån i enheder i den finansielle sektor, når disse enheder har en besiddelse i krydsejerskab med instituttet, og ejerskabet er blevet indgået for kunstigt at øge instituttets kapitalgrundlag (negativt beløb)</w:t>
            </w:r>
          </w:p>
          <w:p w14:paraId="63EF50C5"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Direkte, indirekte og syntetiske besiddelser af supplerende kapitalinstrumenter og efterstillede lån i enheder i den finansielle sektor, når disse enheder har en besiddelse i krydsejerskab med instituttet, og ejerskabet er blevet indgået for kunstigt at øge instituttets kapitalgrundlag, jf. artikel 66, litra b), og artikel 68 i CRR (negativt beløb).</w:t>
            </w:r>
          </w:p>
        </w:tc>
      </w:tr>
      <w:tr w:rsidR="00C85971" w:rsidRPr="007F4CC8" w14:paraId="219230BA" w14:textId="77777777" w:rsidTr="00D819DE">
        <w:tc>
          <w:tcPr>
            <w:tcW w:w="1172" w:type="dxa"/>
            <w:vAlign w:val="center"/>
          </w:tcPr>
          <w:p w14:paraId="1D0BA6DB"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54</w:t>
            </w:r>
          </w:p>
        </w:tc>
        <w:tc>
          <w:tcPr>
            <w:tcW w:w="7242" w:type="dxa"/>
            <w:vAlign w:val="center"/>
          </w:tcPr>
          <w:p w14:paraId="630CD7FA"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Direkte, indirekte og syntetiske besiddelser af supplerende kapitalinstrumenter i enheder i den finansielle sektor, når instituttet ikke har væsentlige investeringer i disse enheder (beløb over tærsklen på 10 % og fratrukket anerkendte korte positioner) (negativt beløb)</w:t>
            </w:r>
          </w:p>
          <w:p w14:paraId="7EC6896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Direkte, indirekte og syntetiske besiddelser af supplerende kapitalinstrumenter og efterstillede lån i enheder i den finansielle sektor, når instituttet ikke har væsentlige investeringer i disse enheder (beløb over tærsklen på 10 % og fratrukket anerkendte korte positioner), jf. artikel 66, litra c), artikel 69, artikel 70 og artikel 79 i CRR (negativt beløb).</w:t>
            </w:r>
          </w:p>
        </w:tc>
      </w:tr>
      <w:tr w:rsidR="00C85971" w:rsidRPr="007F4CC8" w14:paraId="4CF79A0E" w14:textId="77777777" w:rsidTr="00D819DE">
        <w:tc>
          <w:tcPr>
            <w:tcW w:w="1172" w:type="dxa"/>
            <w:vAlign w:val="center"/>
          </w:tcPr>
          <w:p w14:paraId="0064103D"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54a</w:t>
            </w:r>
          </w:p>
        </w:tc>
        <w:tc>
          <w:tcPr>
            <w:tcW w:w="7242" w:type="dxa"/>
            <w:vAlign w:val="center"/>
          </w:tcPr>
          <w:p w14:paraId="19CF9E46"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Ikke relevant</w:t>
            </w:r>
          </w:p>
        </w:tc>
      </w:tr>
      <w:tr w:rsidR="00C85971" w:rsidRPr="007F4CC8" w14:paraId="2F8BDCF5" w14:textId="77777777" w:rsidTr="00D819DE">
        <w:tc>
          <w:tcPr>
            <w:tcW w:w="1172" w:type="dxa"/>
            <w:vAlign w:val="center"/>
          </w:tcPr>
          <w:p w14:paraId="51DDDCE3"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55</w:t>
            </w:r>
          </w:p>
        </w:tc>
        <w:tc>
          <w:tcPr>
            <w:tcW w:w="7242" w:type="dxa"/>
            <w:vAlign w:val="center"/>
          </w:tcPr>
          <w:p w14:paraId="476FDFA9"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Instituttets direkte, indirekte og syntetiske besiddelser af supplerende kapitalinstrumenter og efterstillede lån i enheder i den finansielle sektor, når instituttet har væsentlige investeringer i disse enheder (fratrukket anerkendte korte positioner) (negativt beløb)</w:t>
            </w:r>
          </w:p>
          <w:p w14:paraId="29E41F2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Direkte, indirekte og syntetiske besiddelser af supplerende kapitalinstrumenter og efterstillede lån i enheder i den finansielle sektor, når instituttet har væsentlige investeringer i disse enheder (fratrukket anerkendte korte positioner), jf. artikel 66, litra d), artikel 69 og artikel 79 i CRR (negativt beløb).</w:t>
            </w:r>
          </w:p>
        </w:tc>
      </w:tr>
      <w:tr w:rsidR="00C85971" w:rsidRPr="007F4CC8" w14:paraId="0148038E" w14:textId="77777777" w:rsidTr="00D819DE">
        <w:tc>
          <w:tcPr>
            <w:tcW w:w="1172" w:type="dxa"/>
            <w:vAlign w:val="center"/>
          </w:tcPr>
          <w:p w14:paraId="23A868EA"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56</w:t>
            </w:r>
          </w:p>
        </w:tc>
        <w:tc>
          <w:tcPr>
            <w:tcW w:w="7242" w:type="dxa"/>
            <w:vAlign w:val="center"/>
          </w:tcPr>
          <w:p w14:paraId="0ECD9E8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Ikke relevant</w:t>
            </w:r>
          </w:p>
        </w:tc>
      </w:tr>
      <w:tr w:rsidR="00C85971" w:rsidRPr="007F4CC8" w14:paraId="2716DC8B" w14:textId="77777777" w:rsidTr="00D819DE">
        <w:tc>
          <w:tcPr>
            <w:tcW w:w="1172" w:type="dxa"/>
            <w:vAlign w:val="center"/>
          </w:tcPr>
          <w:p w14:paraId="42BD15E2" w14:textId="77777777" w:rsidR="00C85971" w:rsidRPr="007F4CC8" w:rsidRDefault="00C85971" w:rsidP="00D819DE">
            <w:pPr>
              <w:spacing w:after="200"/>
              <w:rPr>
                <w:color w:val="000000" w:themeColor="text1"/>
                <w:sz w:val="24"/>
                <w:rFonts w:ascii="Times New Roman" w:hAnsi="Times New Roman" w:cs="Times New Roman"/>
              </w:rPr>
            </w:pPr>
            <w:r>
              <w:rPr>
                <w:color w:val="000000" w:themeColor="text1"/>
                <w:sz w:val="24"/>
                <w:rFonts w:ascii="Times New Roman" w:hAnsi="Times New Roman"/>
              </w:rPr>
              <w:t xml:space="preserve">EU-56a</w:t>
            </w:r>
          </w:p>
        </w:tc>
        <w:tc>
          <w:tcPr>
            <w:tcW w:w="7242" w:type="dxa"/>
            <w:vAlign w:val="center"/>
          </w:tcPr>
          <w:p w14:paraId="6AFD5AE3" w14:textId="77777777" w:rsidR="00C85971" w:rsidRPr="007F4CC8" w:rsidRDefault="00C85971" w:rsidP="00D819DE">
            <w:pPr>
              <w:spacing w:after="200"/>
              <w:jc w:val="both"/>
              <w:rPr>
                <w:color w:val="000000" w:themeColor="text1"/>
                <w:sz w:val="24"/>
                <w:rFonts w:ascii="Times New Roman" w:hAnsi="Times New Roman" w:cs="Times New Roman"/>
              </w:rPr>
            </w:pPr>
            <w:r>
              <w:rPr>
                <w:color w:val="000000" w:themeColor="text1"/>
                <w:sz w:val="24"/>
                <w:rFonts w:ascii="Times New Roman" w:hAnsi="Times New Roman"/>
              </w:rPr>
              <w:t xml:space="preserve">Kvalificerede fradrag i nedskrivningsrelevante passiver, som overstiger instituttets nedskrivningsrelevante passiver (negativt beløb)</w:t>
            </w:r>
          </w:p>
          <w:p w14:paraId="1494AF54" w14:textId="77777777" w:rsidR="00C85971" w:rsidRPr="007F4CC8" w:rsidRDefault="00C85971" w:rsidP="00D819DE">
            <w:pPr>
              <w:spacing w:after="200"/>
              <w:jc w:val="both"/>
              <w:rPr>
                <w:color w:val="000000" w:themeColor="text1"/>
                <w:sz w:val="24"/>
                <w:rFonts w:ascii="Times New Roman" w:hAnsi="Times New Roman" w:cs="Times New Roman"/>
              </w:rPr>
            </w:pPr>
            <w:r>
              <w:rPr>
                <w:sz w:val="24"/>
                <w:rFonts w:ascii="Times New Roman" w:hAnsi="Times New Roman"/>
              </w:rPr>
              <w:t xml:space="preserve">Kvalificerede fradrag i nedskrivningsrelevante passiver, som overstiger instituttets nedskrivningsrelevante passiver, jf. artikel 66. litra e), i CRR (negativt beløb).</w:t>
            </w:r>
            <w:r>
              <w:rPr>
                <w:sz w:val="24"/>
                <w:color w:val="000000" w:themeColor="text1"/>
                <w:rFonts w:ascii="Times New Roman" w:hAnsi="Times New Roman"/>
              </w:rPr>
              <w:t xml:space="preserve"> </w:t>
            </w:r>
          </w:p>
        </w:tc>
      </w:tr>
      <w:tr w:rsidR="00C85971" w:rsidRPr="007F4CC8" w14:paraId="03E3DFDB" w14:textId="77777777" w:rsidTr="00D819DE">
        <w:tc>
          <w:tcPr>
            <w:tcW w:w="1172" w:type="dxa"/>
            <w:vAlign w:val="center"/>
          </w:tcPr>
          <w:p w14:paraId="33178EB9"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Eu-56b</w:t>
            </w:r>
          </w:p>
        </w:tc>
        <w:tc>
          <w:tcPr>
            <w:tcW w:w="7242" w:type="dxa"/>
            <w:vAlign w:val="center"/>
          </w:tcPr>
          <w:p w14:paraId="29CB1AF6"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Andre lovpligtige justeringer af den supplerende kapital</w:t>
            </w:r>
          </w:p>
          <w:p w14:paraId="6FD61B58"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Institutterne skal i denne række offentliggøre eventuelle relevante lovpligtige justeringer, der indberettes som led i tilsynsmæssig indberetning og ikke medtages i andre rækker i dette skema.</w:t>
            </w:r>
          </w:p>
        </w:tc>
      </w:tr>
      <w:tr w:rsidR="00C85971" w:rsidRPr="007F4CC8" w14:paraId="554EFD95" w14:textId="77777777" w:rsidTr="00D819DE">
        <w:tc>
          <w:tcPr>
            <w:tcW w:w="1172" w:type="dxa"/>
            <w:vAlign w:val="center"/>
          </w:tcPr>
          <w:p w14:paraId="580F82CA"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57</w:t>
            </w:r>
          </w:p>
        </w:tc>
        <w:tc>
          <w:tcPr>
            <w:tcW w:w="7242" w:type="dxa"/>
            <w:vAlign w:val="center"/>
          </w:tcPr>
          <w:p w14:paraId="66195BF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Samlede lovpligtige justeringer af supplerende kapital</w:t>
            </w:r>
          </w:p>
          <w:p w14:paraId="75EB0C9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Summen af beløbene i række 52 til EU-56b i dette skema.</w:t>
            </w:r>
          </w:p>
        </w:tc>
      </w:tr>
      <w:tr w:rsidR="00C85971" w:rsidRPr="007F4CC8" w14:paraId="540074EE" w14:textId="77777777" w:rsidTr="00D819DE">
        <w:tc>
          <w:tcPr>
            <w:tcW w:w="1172" w:type="dxa"/>
            <w:vAlign w:val="center"/>
          </w:tcPr>
          <w:p w14:paraId="5263195D"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58</w:t>
            </w:r>
          </w:p>
        </w:tc>
        <w:tc>
          <w:tcPr>
            <w:tcW w:w="7242" w:type="dxa"/>
            <w:vAlign w:val="center"/>
          </w:tcPr>
          <w:p w14:paraId="3ED0F5A1"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Supplerende kapital</w:t>
            </w:r>
          </w:p>
          <w:p w14:paraId="716BEA17" w14:textId="77777777" w:rsidR="00C85971" w:rsidRPr="007F4CC8" w:rsidRDefault="00C85971" w:rsidP="00D819DE">
            <w:pPr>
              <w:spacing w:after="200"/>
              <w:jc w:val="both"/>
              <w:rPr>
                <w:sz w:val="24"/>
                <w:rFonts w:ascii="Times New Roman" w:hAnsi="Times New Roman"/>
              </w:rPr>
            </w:pPr>
            <w:r>
              <w:rPr>
                <w:sz w:val="24"/>
                <w:rFonts w:ascii="Times New Roman" w:hAnsi="Times New Roman"/>
              </w:rPr>
              <w:t xml:space="preserve">Supplerende kapital, der beregnes som række 51 minus række 57 i dette skema.</w:t>
            </w:r>
          </w:p>
        </w:tc>
      </w:tr>
      <w:tr w:rsidR="00C85971" w:rsidRPr="007F4CC8" w14:paraId="461D354A" w14:textId="77777777" w:rsidTr="00D819DE">
        <w:tc>
          <w:tcPr>
            <w:tcW w:w="1172" w:type="dxa"/>
            <w:vAlign w:val="center"/>
          </w:tcPr>
          <w:p w14:paraId="3092C2FA"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59</w:t>
            </w:r>
          </w:p>
        </w:tc>
        <w:tc>
          <w:tcPr>
            <w:tcW w:w="7242" w:type="dxa"/>
            <w:vAlign w:val="center"/>
          </w:tcPr>
          <w:p w14:paraId="094EB59C" w14:textId="77777777" w:rsidR="00C85971" w:rsidRPr="00DD0C4D" w:rsidRDefault="00C85971" w:rsidP="00D819DE">
            <w:pPr>
              <w:spacing w:after="200"/>
              <w:jc w:val="both"/>
              <w:rPr>
                <w:sz w:val="24"/>
                <w:rFonts w:ascii="Times New Roman" w:hAnsi="Times New Roman" w:cs="Times New Roman"/>
              </w:rPr>
            </w:pPr>
            <w:r>
              <w:rPr>
                <w:sz w:val="24"/>
                <w:rFonts w:ascii="Times New Roman" w:hAnsi="Times New Roman"/>
              </w:rPr>
              <w:t xml:space="preserve">Samlet kapital (samlet kapital = kernekapital + supplerende kapital)</w:t>
            </w:r>
          </w:p>
          <w:p w14:paraId="2B99CB69"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Samlet kapital, der beregnes som række 45 plus række 58 i dette skema.</w:t>
            </w:r>
          </w:p>
        </w:tc>
      </w:tr>
      <w:tr w:rsidR="00C85971" w:rsidRPr="007F4CC8" w14:paraId="75343758" w14:textId="77777777" w:rsidTr="00D819DE">
        <w:tc>
          <w:tcPr>
            <w:tcW w:w="1172" w:type="dxa"/>
            <w:vAlign w:val="center"/>
          </w:tcPr>
          <w:p w14:paraId="69922FEC"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60</w:t>
            </w:r>
          </w:p>
        </w:tc>
        <w:tc>
          <w:tcPr>
            <w:tcW w:w="7242" w:type="dxa"/>
            <w:vAlign w:val="center"/>
          </w:tcPr>
          <w:p w14:paraId="28455AF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Samlet risikoeksponering</w:t>
            </w:r>
          </w:p>
          <w:p w14:paraId="07C03EC1"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Koncernens samlede risikoeksponering.</w:t>
            </w:r>
          </w:p>
        </w:tc>
      </w:tr>
      <w:tr w:rsidR="00C85971" w:rsidRPr="007F4CC8" w14:paraId="02976C44" w14:textId="77777777" w:rsidTr="00D819DE">
        <w:tc>
          <w:tcPr>
            <w:tcW w:w="1172" w:type="dxa"/>
            <w:vAlign w:val="center"/>
          </w:tcPr>
          <w:p w14:paraId="6F3C24E0"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61</w:t>
            </w:r>
          </w:p>
        </w:tc>
        <w:tc>
          <w:tcPr>
            <w:tcW w:w="7242" w:type="dxa"/>
            <w:vAlign w:val="center"/>
          </w:tcPr>
          <w:p w14:paraId="715F9398"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Egentlig kernekapital</w:t>
            </w:r>
          </w:p>
          <w:p w14:paraId="7AAE0F8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Egentlig kernekapital (som en procentdel af den samlede risikoeksponering) beregnet som række 29 divideret med række 60 (udtrykt som en procentdel) i dette skema i overensstemmelse med artikel 92, stk. 2, litra a), i CRR.</w:t>
            </w:r>
          </w:p>
        </w:tc>
      </w:tr>
      <w:tr w:rsidR="00C85971" w:rsidRPr="007F4CC8" w14:paraId="5CE7D564" w14:textId="77777777" w:rsidTr="00D819DE">
        <w:tc>
          <w:tcPr>
            <w:tcW w:w="1172" w:type="dxa"/>
            <w:vAlign w:val="center"/>
          </w:tcPr>
          <w:p w14:paraId="062130AB"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62</w:t>
            </w:r>
          </w:p>
        </w:tc>
        <w:tc>
          <w:tcPr>
            <w:tcW w:w="7242" w:type="dxa"/>
            <w:vAlign w:val="center"/>
          </w:tcPr>
          <w:p w14:paraId="4254B9E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Kernekapital</w:t>
            </w:r>
          </w:p>
          <w:p w14:paraId="476DDDE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Kernekapital (som en procentdel af den samlede risikoeksponering) beregnet som række 45 divideret med række 60 (udtrykt som en procentdel) i dette skema i overensstemmelse med artikel 92, stk. 2, litra b), i CRR.</w:t>
            </w:r>
          </w:p>
        </w:tc>
      </w:tr>
      <w:tr w:rsidR="00C85971" w:rsidRPr="007F4CC8" w14:paraId="1127C16A" w14:textId="77777777" w:rsidTr="00D819DE">
        <w:tc>
          <w:tcPr>
            <w:tcW w:w="1172" w:type="dxa"/>
            <w:vAlign w:val="center"/>
          </w:tcPr>
          <w:p w14:paraId="44F246AD"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63</w:t>
            </w:r>
          </w:p>
        </w:tc>
        <w:tc>
          <w:tcPr>
            <w:tcW w:w="7242" w:type="dxa"/>
            <w:vAlign w:val="center"/>
          </w:tcPr>
          <w:p w14:paraId="1D8E4386"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Samlet kapital</w:t>
            </w:r>
          </w:p>
          <w:p w14:paraId="75C13C00"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Samlet kapital (som en procentdel af den samlede risikoeksponering) beregnet som række 59 divideret med række 60 (udtrykt som en procentdel) i dette skema i overensstemmelse med artikel 92, stk. 2, litra c), i CRR.</w:t>
            </w:r>
          </w:p>
        </w:tc>
      </w:tr>
      <w:tr w:rsidR="00C85971" w:rsidRPr="007F4CC8" w14:paraId="425E6610" w14:textId="77777777" w:rsidTr="00D819DE">
        <w:tc>
          <w:tcPr>
            <w:tcW w:w="1172" w:type="dxa"/>
            <w:vAlign w:val="center"/>
          </w:tcPr>
          <w:p w14:paraId="3D33CB43"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64</w:t>
            </w:r>
          </w:p>
        </w:tc>
        <w:tc>
          <w:tcPr>
            <w:tcW w:w="7242" w:type="dxa"/>
            <w:vAlign w:val="center"/>
          </w:tcPr>
          <w:p w14:paraId="07099552"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Instituttets sammenlagte kapitalkrav for egentlig kernekapital</w:t>
            </w:r>
            <w:r>
              <w:rPr>
                <w:sz w:val="24"/>
                <w:rFonts w:ascii="Times New Roman" w:hAnsi="Times New Roman"/>
              </w:rPr>
              <w:t xml:space="preserve"> </w:t>
            </w:r>
          </w:p>
          <w:p w14:paraId="15B22550"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Instituttets sammenlagte kapitalkrav for egentlig kernekapital skal beregnes som krav til egentlig kernekapital i overensstemmelse med artikel 92, stk. 1, litra a), i CRR plus krav om yderligere egentlig kernekapital, som institutterne skal have i henhold til artikel 104, stk. 1, litra a), i direktiv (EU) 2013/36</w:t>
            </w:r>
            <w:r>
              <w:rPr>
                <w:rStyle w:val="FootnoteReference"/>
                <w:rFonts w:cs="Times New Roman"/>
                <w:lang w:eastAsia="ja-JP"/>
              </w:rPr>
              <w:footnoteReference w:id="2"/>
            </w:r>
            <w:r>
              <w:rPr>
                <w:sz w:val="24"/>
                <w:rFonts w:ascii="Times New Roman" w:hAnsi="Times New Roman"/>
              </w:rPr>
              <w:t xml:space="preserve"> ("CRD"), plus kombineret bufferkrav, jf. artikel 128, nr. 6), i CRD, udtrykt som en procentdel af risikoeksponeringen.</w:t>
            </w:r>
          </w:p>
          <w:p w14:paraId="6E4E1C3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Beregnes som 4,5 % plus de yderligere søjle 2-krav, som institutterne skal opfylde i henhold til artikel 104, stk. 1, litra a), i CRD, plus det kombinerede bufferkrav beregnet i overensstemmelse med artikel 128, 129, 130, 131 og 133 i CRD.</w:t>
            </w:r>
            <w:r>
              <w:rPr>
                <w:sz w:val="24"/>
                <w:rFonts w:ascii="Times New Roman" w:hAnsi="Times New Roman"/>
              </w:rPr>
              <w:t xml:space="preserve"> </w:t>
            </w:r>
          </w:p>
          <w:p w14:paraId="459D65FD"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Denne række vil vise den egentlige kernekapitalprocent, som er relevant for vurderingen af begrænsninger for udlodninger.</w:t>
            </w:r>
            <w:r>
              <w:rPr>
                <w:sz w:val="24"/>
                <w:rFonts w:ascii="Times New Roman" w:hAnsi="Times New Roman"/>
              </w:rPr>
              <w:t xml:space="preserve"> </w:t>
            </w:r>
          </w:p>
        </w:tc>
      </w:tr>
      <w:tr w:rsidR="00C85971" w:rsidRPr="007F4CC8" w14:paraId="3545FB20" w14:textId="77777777" w:rsidTr="00D819DE">
        <w:tc>
          <w:tcPr>
            <w:tcW w:w="1172" w:type="dxa"/>
            <w:vAlign w:val="center"/>
          </w:tcPr>
          <w:p w14:paraId="3A7E54C5"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65</w:t>
            </w:r>
          </w:p>
        </w:tc>
        <w:tc>
          <w:tcPr>
            <w:tcW w:w="7242" w:type="dxa"/>
            <w:vAlign w:val="center"/>
          </w:tcPr>
          <w:p w14:paraId="1B86E50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heraf:</w:t>
            </w:r>
            <w:r>
              <w:rPr>
                <w:sz w:val="24"/>
                <w:rFonts w:ascii="Times New Roman" w:hAnsi="Times New Roman"/>
              </w:rPr>
              <w:t xml:space="preserve"> </w:t>
            </w:r>
            <w:r>
              <w:rPr>
                <w:sz w:val="24"/>
                <w:rFonts w:ascii="Times New Roman" w:hAnsi="Times New Roman"/>
              </w:rPr>
              <w:t xml:space="preserve">krav om kapitalbevaringsbuffer</w:t>
            </w:r>
          </w:p>
          <w:p w14:paraId="210E1B9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Beløbet i række 64 (udtrykt som en procentdel af den samlede risikoeksponering) i dette skema, som vedrører kravet om kapitalbevaringsbuffer, jf. artikel 129 i CRD.</w:t>
            </w:r>
          </w:p>
        </w:tc>
      </w:tr>
      <w:tr w:rsidR="00C85971" w:rsidRPr="007F4CC8" w14:paraId="0D9440CE" w14:textId="77777777" w:rsidTr="00D819DE">
        <w:tc>
          <w:tcPr>
            <w:tcW w:w="1172" w:type="dxa"/>
            <w:vAlign w:val="center"/>
          </w:tcPr>
          <w:p w14:paraId="58BFD117"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66</w:t>
            </w:r>
          </w:p>
        </w:tc>
        <w:tc>
          <w:tcPr>
            <w:tcW w:w="7242" w:type="dxa"/>
            <w:vAlign w:val="center"/>
          </w:tcPr>
          <w:p w14:paraId="51C550B9"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heraf:</w:t>
            </w:r>
            <w:r>
              <w:rPr>
                <w:sz w:val="24"/>
                <w:rFonts w:ascii="Times New Roman" w:hAnsi="Times New Roman"/>
              </w:rPr>
              <w:t xml:space="preserve"> </w:t>
            </w:r>
            <w:r>
              <w:rPr>
                <w:sz w:val="24"/>
                <w:rFonts w:ascii="Times New Roman" w:hAnsi="Times New Roman"/>
              </w:rPr>
              <w:t xml:space="preserve">krav om kontracyklisk kapitalbuffer</w:t>
            </w:r>
          </w:p>
          <w:p w14:paraId="19B69C3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Beløbet i række 64 (udtrykt som en procentdel af den samlede risikoeksponering) i dette skema, som vedrører kravet om kontracyklisk buffer, jf. artikel 130 i CRD.</w:t>
            </w:r>
            <w:r>
              <w:rPr>
                <w:sz w:val="24"/>
                <w:rFonts w:ascii="Times New Roman" w:hAnsi="Times New Roman"/>
              </w:rPr>
              <w:t xml:space="preserve"> </w:t>
            </w:r>
          </w:p>
        </w:tc>
      </w:tr>
      <w:tr w:rsidR="00C85971" w:rsidRPr="007F4CC8" w14:paraId="6CFBEEA0" w14:textId="77777777" w:rsidTr="00D819DE">
        <w:tc>
          <w:tcPr>
            <w:tcW w:w="1172" w:type="dxa"/>
            <w:vAlign w:val="center"/>
          </w:tcPr>
          <w:p w14:paraId="0B86C940"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67</w:t>
            </w:r>
          </w:p>
        </w:tc>
        <w:tc>
          <w:tcPr>
            <w:tcW w:w="7242" w:type="dxa"/>
            <w:vAlign w:val="center"/>
          </w:tcPr>
          <w:p w14:paraId="4CE34862"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heraf:</w:t>
            </w:r>
            <w:r>
              <w:rPr>
                <w:sz w:val="24"/>
                <w:rFonts w:ascii="Times New Roman" w:hAnsi="Times New Roman"/>
              </w:rPr>
              <w:t xml:space="preserve"> </w:t>
            </w:r>
            <w:r>
              <w:rPr>
                <w:sz w:val="24"/>
                <w:rFonts w:ascii="Times New Roman" w:hAnsi="Times New Roman"/>
              </w:rPr>
              <w:t xml:space="preserve">krav om systemisk risikobuffer</w:t>
            </w:r>
          </w:p>
          <w:p w14:paraId="465CB0E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Beløbet i række 64 (udtrykt som en procentdel af den samlede risikoeksponering) i dette skema, som vedrører kravet om systemisk risikobuffer, jf. artikel 133 i CRD.</w:t>
            </w:r>
          </w:p>
        </w:tc>
      </w:tr>
      <w:tr w:rsidR="00C85971" w:rsidRPr="007F4CC8" w14:paraId="410A360E" w14:textId="77777777" w:rsidTr="00D819DE">
        <w:tc>
          <w:tcPr>
            <w:tcW w:w="1172" w:type="dxa"/>
            <w:vAlign w:val="center"/>
          </w:tcPr>
          <w:p w14:paraId="17FE665D"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EU-67a</w:t>
            </w:r>
          </w:p>
        </w:tc>
        <w:tc>
          <w:tcPr>
            <w:tcW w:w="7242" w:type="dxa"/>
            <w:vAlign w:val="center"/>
          </w:tcPr>
          <w:p w14:paraId="15A9C98A"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heraf:</w:t>
            </w:r>
            <w:r>
              <w:rPr>
                <w:sz w:val="24"/>
                <w:rFonts w:ascii="Times New Roman" w:hAnsi="Times New Roman"/>
              </w:rPr>
              <w:t xml:space="preserve"> </w:t>
            </w:r>
            <w:r>
              <w:rPr>
                <w:sz w:val="24"/>
                <w:rFonts w:ascii="Times New Roman" w:hAnsi="Times New Roman"/>
              </w:rPr>
              <w:t xml:space="preserve">krav om G-SII-buffer eller O-SII-buffer</w:t>
            </w:r>
          </w:p>
          <w:p w14:paraId="2DA57F1D"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Beløbet i række 64 (udtrykt som en procentdel af den samlede risikoeksponering) i dette skema, som vedrører kravet om G-SII-buffer eller O-SII-buffer, jf. artikel 131 i CRD.</w:t>
            </w:r>
          </w:p>
        </w:tc>
      </w:tr>
      <w:tr w:rsidR="00C85971" w:rsidRPr="007F4CC8" w14:paraId="6B7DF9D5" w14:textId="77777777" w:rsidTr="00D819DE">
        <w:tc>
          <w:tcPr>
            <w:tcW w:w="1172" w:type="dxa"/>
            <w:vAlign w:val="center"/>
          </w:tcPr>
          <w:p w14:paraId="3FC88B9B"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EU-67b</w:t>
            </w:r>
          </w:p>
        </w:tc>
        <w:tc>
          <w:tcPr>
            <w:tcW w:w="7242" w:type="dxa"/>
            <w:vAlign w:val="center"/>
          </w:tcPr>
          <w:p w14:paraId="0BA08EF5"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heraf:</w:t>
            </w:r>
            <w:r>
              <w:rPr>
                <w:sz w:val="24"/>
                <w:rFonts w:ascii="Times New Roman" w:hAnsi="Times New Roman"/>
              </w:rPr>
              <w:t xml:space="preserve"> </w:t>
            </w:r>
            <w:r>
              <w:rPr>
                <w:sz w:val="24"/>
                <w:rFonts w:ascii="Times New Roman" w:hAnsi="Times New Roman"/>
              </w:rPr>
              <w:t xml:space="preserve">krav om yderligere kapitalgrundlag til at tage højde for andre risici end risikoen for overdreven gearing (%)</w:t>
            </w:r>
            <w:r>
              <w:rPr>
                <w:sz w:val="24"/>
                <w:rFonts w:ascii="Times New Roman" w:hAnsi="Times New Roman"/>
              </w:rPr>
              <w:t xml:space="preserve"> </w:t>
            </w:r>
          </w:p>
          <w:p w14:paraId="2998F1B8"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Beløbet i række 64 (udtrykt som en procentdel af den samlede risikoeksponering) i dette skema, som vedrører kravene om yderligere kapitalgrundlag, der følger af tilsynsprocessen, og som skal opfyldes af egentlig kernekapital, jf. artikel 104, stk. 1, litra a), i direktiv 2013/36/EU.</w:t>
            </w:r>
          </w:p>
        </w:tc>
      </w:tr>
      <w:tr w:rsidR="00C85971" w:rsidRPr="007F4CC8" w14:paraId="14443E4F" w14:textId="77777777" w:rsidTr="00D819DE">
        <w:tc>
          <w:tcPr>
            <w:tcW w:w="1172" w:type="dxa"/>
            <w:vAlign w:val="center"/>
          </w:tcPr>
          <w:p w14:paraId="5AE63FFC"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68</w:t>
            </w:r>
          </w:p>
        </w:tc>
        <w:tc>
          <w:tcPr>
            <w:tcW w:w="7242" w:type="dxa"/>
            <w:vAlign w:val="center"/>
          </w:tcPr>
          <w:p w14:paraId="4E319E0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Tilgængelig egentlig kernekapital (som en procentdel af risikoeksponeringen) efter opfyldelse af minimumskapitalkrav</w:t>
            </w:r>
          </w:p>
          <w:p w14:paraId="6089746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Beregnes som række 61 minus 4,5 (procentpoint) minus EU-67b minus egentlig kernekapital, der bruges af instituttet til at opfylde kravene om hybrid kernekapital og supplerende kapital.</w:t>
            </w:r>
          </w:p>
        </w:tc>
      </w:tr>
      <w:tr w:rsidR="00C85971" w:rsidRPr="007F4CC8" w14:paraId="7FF2039B" w14:textId="77777777" w:rsidTr="00D819DE">
        <w:tc>
          <w:tcPr>
            <w:tcW w:w="1172" w:type="dxa"/>
            <w:vAlign w:val="center"/>
          </w:tcPr>
          <w:p w14:paraId="191725D5" w14:textId="77777777" w:rsidR="00C85971" w:rsidRPr="007F4CC8" w:rsidDel="007266C2" w:rsidRDefault="00C85971" w:rsidP="00D819DE">
            <w:pPr>
              <w:spacing w:after="200"/>
              <w:rPr>
                <w:sz w:val="24"/>
                <w:rFonts w:ascii="Times New Roman" w:hAnsi="Times New Roman" w:cs="Times New Roman"/>
              </w:rPr>
            </w:pPr>
            <w:r>
              <w:rPr>
                <w:sz w:val="24"/>
                <w:rFonts w:ascii="Times New Roman" w:hAnsi="Times New Roman"/>
              </w:rPr>
              <w:t xml:space="preserve">69</w:t>
            </w:r>
          </w:p>
        </w:tc>
        <w:tc>
          <w:tcPr>
            <w:tcW w:w="7242" w:type="dxa"/>
            <w:vAlign w:val="center"/>
          </w:tcPr>
          <w:p w14:paraId="28131AA5"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Ikke relevant</w:t>
            </w:r>
          </w:p>
        </w:tc>
      </w:tr>
      <w:tr w:rsidR="00C85971" w:rsidRPr="007F4CC8" w14:paraId="2EA16280" w14:textId="77777777" w:rsidTr="00D819DE">
        <w:tc>
          <w:tcPr>
            <w:tcW w:w="1172" w:type="dxa"/>
            <w:vAlign w:val="center"/>
          </w:tcPr>
          <w:p w14:paraId="02813F15" w14:textId="77777777" w:rsidR="00C85971" w:rsidRPr="007F4CC8" w:rsidDel="007266C2" w:rsidRDefault="00C85971" w:rsidP="00D819DE">
            <w:pPr>
              <w:spacing w:after="200"/>
              <w:rPr>
                <w:sz w:val="24"/>
                <w:rFonts w:ascii="Times New Roman" w:hAnsi="Times New Roman" w:cs="Times New Roman"/>
              </w:rPr>
            </w:pPr>
            <w:r>
              <w:rPr>
                <w:sz w:val="24"/>
                <w:rFonts w:ascii="Times New Roman" w:hAnsi="Times New Roman"/>
              </w:rPr>
              <w:t xml:space="preserve">70</w:t>
            </w:r>
          </w:p>
        </w:tc>
        <w:tc>
          <w:tcPr>
            <w:tcW w:w="7242" w:type="dxa"/>
            <w:vAlign w:val="center"/>
          </w:tcPr>
          <w:p w14:paraId="335DC027"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Ikke relevant</w:t>
            </w:r>
          </w:p>
        </w:tc>
      </w:tr>
      <w:tr w:rsidR="00C85971" w:rsidRPr="007F4CC8" w14:paraId="03C8281B" w14:textId="77777777" w:rsidTr="00D819DE">
        <w:tc>
          <w:tcPr>
            <w:tcW w:w="1172" w:type="dxa"/>
            <w:vAlign w:val="center"/>
          </w:tcPr>
          <w:p w14:paraId="004C9A2D" w14:textId="77777777" w:rsidR="00C85971" w:rsidRPr="007F4CC8" w:rsidDel="007266C2" w:rsidRDefault="00C85971" w:rsidP="00D819DE">
            <w:pPr>
              <w:spacing w:after="200"/>
              <w:rPr>
                <w:sz w:val="24"/>
                <w:rFonts w:ascii="Times New Roman" w:hAnsi="Times New Roman" w:cs="Times New Roman"/>
              </w:rPr>
            </w:pPr>
            <w:r>
              <w:rPr>
                <w:sz w:val="24"/>
                <w:rFonts w:ascii="Times New Roman" w:hAnsi="Times New Roman"/>
              </w:rPr>
              <w:t xml:space="preserve">71</w:t>
            </w:r>
          </w:p>
        </w:tc>
        <w:tc>
          <w:tcPr>
            <w:tcW w:w="7242" w:type="dxa"/>
            <w:vAlign w:val="center"/>
          </w:tcPr>
          <w:p w14:paraId="15C36360"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Ikke relevant</w:t>
            </w:r>
          </w:p>
        </w:tc>
      </w:tr>
      <w:tr w:rsidR="00C85971" w:rsidRPr="007F4CC8" w14:paraId="12FC8CC2" w14:textId="77777777" w:rsidTr="00D819DE">
        <w:tc>
          <w:tcPr>
            <w:tcW w:w="1172" w:type="dxa"/>
            <w:vAlign w:val="center"/>
          </w:tcPr>
          <w:p w14:paraId="30B74791"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72</w:t>
            </w:r>
          </w:p>
        </w:tc>
        <w:tc>
          <w:tcPr>
            <w:tcW w:w="7242" w:type="dxa"/>
            <w:vAlign w:val="center"/>
          </w:tcPr>
          <w:p w14:paraId="024154B6"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Direkte og indirekte besiddelser af kapitalgrundlag og nedskrivningsrelevante passiver i enheder i den finansielle sektor, når instituttet ikke har væsentlige investeringer i disse enheder (beløb under tærsklen på 10 % og fratrukket anerkendte korte positioner)</w:t>
            </w:r>
          </w:p>
          <w:p w14:paraId="1F5B774D"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Direkte og indirekte besiddelser af kapitalgrundlag og nedskrivningsrelevante passiver i enheder i den finansielle sektor, når instituttet ikke har væsentlige investeringer i disse enheder (beløb under tærsklen på 10 % og fratrukket anerkendte korte positioner), jf. artikel 36, stk. 1, litra h), artikel 45, artikel 46, artikel 56, litra c), artikel 59, artikel 60, artikel 66, litra c), artikel 69, artikel 70 og artikel 72i i CRR.</w:t>
            </w:r>
            <w:r>
              <w:rPr>
                <w:sz w:val="24"/>
                <w:rFonts w:ascii="Times New Roman" w:hAnsi="Times New Roman"/>
              </w:rPr>
              <w:t xml:space="preserve"> </w:t>
            </w:r>
          </w:p>
        </w:tc>
      </w:tr>
      <w:tr w:rsidR="00C85971" w:rsidRPr="007F4CC8" w14:paraId="3D93F4C7" w14:textId="77777777" w:rsidTr="00D819DE">
        <w:tc>
          <w:tcPr>
            <w:tcW w:w="1172" w:type="dxa"/>
            <w:vAlign w:val="center"/>
          </w:tcPr>
          <w:p w14:paraId="7DB0B967"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73</w:t>
            </w:r>
          </w:p>
        </w:tc>
        <w:tc>
          <w:tcPr>
            <w:tcW w:w="7242" w:type="dxa"/>
            <w:vAlign w:val="center"/>
          </w:tcPr>
          <w:p w14:paraId="7FC596D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Instituttets direkte og indirekte besiddelser af egentlige kernekapitalinstrumenter i enheder i den finansielle sektor, når instituttet har væsentlige investeringer i disse enheder (beløb under tærsklen på 17,65 % og fratrukket anerkendte korte positioner)</w:t>
            </w:r>
          </w:p>
          <w:p w14:paraId="5A38514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Instituttets direkte og indirekte besiddelser af egentlige kernekapitalinstrumenter i enheder i den finansielle sektor, når instituttet har væsentlige investeringer i disse enheder (beløb under tærsklen på 17,65 % og fratrukket anerkendte korte positioner), jf. artikel 36, stk. 1, litra i), artikel 43, artikel 45, artikel 47, artikel 48, stk. 1, litra b), og artikel 49, stk. 1 til 3, i CRR (det samlede beløb for sådanne investeringer, der ikke offentliggøres i række 19 og 23 i dette skema).</w:t>
            </w:r>
          </w:p>
        </w:tc>
      </w:tr>
      <w:tr w:rsidR="00C85971" w:rsidRPr="007F4CC8" w14:paraId="0FB93112" w14:textId="77777777" w:rsidTr="00D819DE">
        <w:tc>
          <w:tcPr>
            <w:tcW w:w="1172" w:type="dxa"/>
            <w:vAlign w:val="center"/>
          </w:tcPr>
          <w:p w14:paraId="70224F28"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74</w:t>
            </w:r>
          </w:p>
        </w:tc>
        <w:tc>
          <w:tcPr>
            <w:tcW w:w="7242" w:type="dxa"/>
            <w:vAlign w:val="center"/>
          </w:tcPr>
          <w:p w14:paraId="6F439BB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Ikke relevant</w:t>
            </w:r>
          </w:p>
        </w:tc>
      </w:tr>
      <w:tr w:rsidR="00C85971" w:rsidRPr="007F4CC8" w14:paraId="03D1E122" w14:textId="77777777" w:rsidTr="00D819DE">
        <w:tc>
          <w:tcPr>
            <w:tcW w:w="1172" w:type="dxa"/>
            <w:vAlign w:val="center"/>
          </w:tcPr>
          <w:p w14:paraId="4E9C2993"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75</w:t>
            </w:r>
          </w:p>
        </w:tc>
        <w:tc>
          <w:tcPr>
            <w:tcW w:w="7242" w:type="dxa"/>
            <w:vAlign w:val="center"/>
          </w:tcPr>
          <w:p w14:paraId="57F3C26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Udskudte skatteaktiver, som skyldes midlertidige forskelle (beløb under tærsklen på 17,65 %, fratrukket tilknyttede skatteforpligtelser, hvis betingelserne i artikel 38, stk. 3, i CRR er opfyldt)</w:t>
            </w:r>
          </w:p>
          <w:p w14:paraId="3D7670C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Udskudte skatteaktiver, som skyldes midlertidige forskelle (beløb under tærsklen på 17,65 % i overensstemmelse med artikel 48, stk. 2, litra b), i CRR, fratrukket tilknyttede skatteforpligtelser, når betingelserne i artikel 38, stk. 3, i CRR er opfyldt), i overensstemmelse med artikel 36, stk. 1, litra c), artikel 38 og artikel 48 i CRR (det samlede beløb for sådanne udskudte skatteaktiver, der ikke offentliggøres i række 21 og 25 i dette skema).</w:t>
            </w:r>
          </w:p>
        </w:tc>
      </w:tr>
      <w:tr w:rsidR="00C85971" w:rsidRPr="007F4CC8" w14:paraId="34C77C6D" w14:textId="77777777" w:rsidTr="00D819DE">
        <w:tc>
          <w:tcPr>
            <w:tcW w:w="1172" w:type="dxa"/>
            <w:vAlign w:val="center"/>
          </w:tcPr>
          <w:p w14:paraId="25B69079"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76</w:t>
            </w:r>
          </w:p>
        </w:tc>
        <w:tc>
          <w:tcPr>
            <w:tcW w:w="7242" w:type="dxa"/>
            <w:vAlign w:val="center"/>
          </w:tcPr>
          <w:p w14:paraId="67D1317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Kreditrisikojusteringer indregnet i den supplerende kapital i forbindelse med eksponeringer opgjort efter standardmetoden (før anvendelse af loftet)</w:t>
            </w:r>
          </w:p>
          <w:p w14:paraId="5F64B02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Kreditrisikojusteringer indregnet i den supplerende kapital i forbindelse med eksponeringer opgjort efter standardmetoden i overensstemmelse med artikel 62, litra c), i CRR.</w:t>
            </w:r>
          </w:p>
        </w:tc>
      </w:tr>
      <w:tr w:rsidR="00C85971" w:rsidRPr="007F4CC8" w14:paraId="0C61B8F5" w14:textId="77777777" w:rsidTr="00D819DE">
        <w:tc>
          <w:tcPr>
            <w:tcW w:w="1172" w:type="dxa"/>
            <w:vAlign w:val="center"/>
          </w:tcPr>
          <w:p w14:paraId="63FD1F69"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77</w:t>
            </w:r>
          </w:p>
        </w:tc>
        <w:tc>
          <w:tcPr>
            <w:tcW w:w="7242" w:type="dxa"/>
            <w:vAlign w:val="center"/>
          </w:tcPr>
          <w:p w14:paraId="00AAF9B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Loft for indregning af kreditrisikojusteringer i den supplerende kapital opgjort efter standardmetoden</w:t>
            </w:r>
          </w:p>
          <w:p w14:paraId="3A3B34B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Loft for kreditrisikojusteringer indregnet i den supplerende kapital opgjort efter standardmetoden i overensstemmelse med artikel 62, litra c), i CRR.</w:t>
            </w:r>
          </w:p>
        </w:tc>
      </w:tr>
      <w:tr w:rsidR="00C85971" w:rsidRPr="007F4CC8" w14:paraId="2AC2EB61" w14:textId="77777777" w:rsidTr="00D819DE">
        <w:tc>
          <w:tcPr>
            <w:tcW w:w="1172" w:type="dxa"/>
            <w:vAlign w:val="center"/>
          </w:tcPr>
          <w:p w14:paraId="1C014C99"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78</w:t>
            </w:r>
          </w:p>
        </w:tc>
        <w:tc>
          <w:tcPr>
            <w:tcW w:w="7242" w:type="dxa"/>
            <w:vAlign w:val="center"/>
          </w:tcPr>
          <w:p w14:paraId="78E448E5"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Kreditrisikojusteringer indregnet i den supplerende kapital i forbindelse med eksponeringer opgjort efter IRB-metoden (før anvendelse af loftet)</w:t>
            </w:r>
          </w:p>
          <w:p w14:paraId="68CD65A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Kreditrisikojusteringer indregnet i den supplerende kapital i forbindelse med eksponeringer opgjort efter IRB-metoden i overensstemmelse med artikel 62, litra d), i CRR.</w:t>
            </w:r>
          </w:p>
        </w:tc>
      </w:tr>
      <w:tr w:rsidR="00C85971" w:rsidRPr="007F4CC8" w14:paraId="0F52C71E" w14:textId="77777777" w:rsidTr="00D819DE">
        <w:tc>
          <w:tcPr>
            <w:tcW w:w="1172" w:type="dxa"/>
            <w:vAlign w:val="center"/>
          </w:tcPr>
          <w:p w14:paraId="12CCA4EF"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79</w:t>
            </w:r>
          </w:p>
        </w:tc>
        <w:tc>
          <w:tcPr>
            <w:tcW w:w="7242" w:type="dxa"/>
            <w:vAlign w:val="center"/>
          </w:tcPr>
          <w:p w14:paraId="4FE01D3F"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Loft for indregning af kreditrisikojusteringer i den supplerende kapital opgjort efter IRB-metoden</w:t>
            </w:r>
          </w:p>
          <w:p w14:paraId="63CECB1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Loft for kreditrisikojusteringer indregnet i den supplerende kapital opgjort efter IRB-metoden i overensstemmelse med artikel 62, litra d), i CRR.</w:t>
            </w:r>
          </w:p>
        </w:tc>
      </w:tr>
      <w:tr w:rsidR="00C85971" w:rsidRPr="007F4CC8" w14:paraId="43D161D4" w14:textId="77777777" w:rsidTr="00D819DE">
        <w:tc>
          <w:tcPr>
            <w:tcW w:w="1172" w:type="dxa"/>
            <w:vAlign w:val="center"/>
          </w:tcPr>
          <w:p w14:paraId="75AD8A7C"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80</w:t>
            </w:r>
          </w:p>
        </w:tc>
        <w:tc>
          <w:tcPr>
            <w:tcW w:w="7242" w:type="dxa"/>
            <w:vAlign w:val="center"/>
          </w:tcPr>
          <w:p w14:paraId="1DA6A6EB"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Nuværende loft over egentlige kernekapitalinstrumenter underlagt udfasning</w:t>
            </w:r>
          </w:p>
          <w:p w14:paraId="1D5E4031"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Nuværende loft for egentlige kernekapitalinstrumenter underlagt udfasning i overensstemmelse med artikel 484, stk. 3, og artikel 486, stk. 2 og 5, i CRR.</w:t>
            </w:r>
          </w:p>
        </w:tc>
      </w:tr>
      <w:tr w:rsidR="00C85971" w:rsidRPr="007F4CC8" w14:paraId="32F98EBB" w14:textId="77777777" w:rsidTr="00D819DE">
        <w:tc>
          <w:tcPr>
            <w:tcW w:w="1172" w:type="dxa"/>
            <w:vAlign w:val="center"/>
          </w:tcPr>
          <w:p w14:paraId="52A2ED89"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81</w:t>
            </w:r>
          </w:p>
        </w:tc>
        <w:tc>
          <w:tcPr>
            <w:tcW w:w="7242" w:type="dxa"/>
            <w:vAlign w:val="center"/>
          </w:tcPr>
          <w:p w14:paraId="4F7F93B5"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Beløb ikke indregnet i den egentlige kernekapital som følge af loft (overskridelse af loft efter indfrielse og forfald)</w:t>
            </w:r>
          </w:p>
          <w:p w14:paraId="6C52790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Beløb ikke indregnet i den egentlige kernekapital som følge af loft (overskridelse af loft efter indfrielse og forfald) i overensstemmelse med artikel 484, stk. 3, og artikel 486, stk. 2 og 5, i CRR.</w:t>
            </w:r>
          </w:p>
        </w:tc>
      </w:tr>
      <w:tr w:rsidR="00C85971" w:rsidRPr="007F4CC8" w14:paraId="1618353A" w14:textId="77777777" w:rsidTr="00D819DE">
        <w:tc>
          <w:tcPr>
            <w:tcW w:w="1172" w:type="dxa"/>
            <w:vAlign w:val="center"/>
          </w:tcPr>
          <w:p w14:paraId="2AE57493"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82</w:t>
            </w:r>
          </w:p>
        </w:tc>
        <w:tc>
          <w:tcPr>
            <w:tcW w:w="7242" w:type="dxa"/>
            <w:vAlign w:val="center"/>
          </w:tcPr>
          <w:p w14:paraId="3FB600AC"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Nuværende loft for hybride kernekapitalinstrumenter underlagt udfasning</w:t>
            </w:r>
          </w:p>
          <w:p w14:paraId="44449516"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Nuværende loft for hybride kernekapitalinstrumenter underlagt udfasning i overensstemmelse med artikel 484, stk. 4, og artikel 486, stk. 3 og 5, i CRR.</w:t>
            </w:r>
          </w:p>
        </w:tc>
      </w:tr>
      <w:tr w:rsidR="00C85971" w:rsidRPr="007F4CC8" w14:paraId="162021E2" w14:textId="77777777" w:rsidTr="00D819DE">
        <w:tc>
          <w:tcPr>
            <w:tcW w:w="1172" w:type="dxa"/>
            <w:vAlign w:val="center"/>
          </w:tcPr>
          <w:p w14:paraId="39BEA971"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83</w:t>
            </w:r>
          </w:p>
        </w:tc>
        <w:tc>
          <w:tcPr>
            <w:tcW w:w="7242" w:type="dxa"/>
            <w:vAlign w:val="center"/>
          </w:tcPr>
          <w:p w14:paraId="627736CE"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Beløb ikke indregnet i den hybride kernekapital som følge af loft (overskridelse af loft efter indfrielse og forfald)</w:t>
            </w:r>
          </w:p>
          <w:p w14:paraId="127E661D"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Beløb ikke indregnet i den hybride kernekapital som følge af loft (overskridelse af loft efter indfrielse og forfald) i overensstemmelse med artikel 484, stk. 4, og artikel 486, stk. 3 og 5, i CRR.</w:t>
            </w:r>
          </w:p>
        </w:tc>
      </w:tr>
      <w:tr w:rsidR="00C85971" w:rsidRPr="007F4CC8" w14:paraId="5CD915E4" w14:textId="77777777" w:rsidTr="00D819DE">
        <w:tc>
          <w:tcPr>
            <w:tcW w:w="1172" w:type="dxa"/>
            <w:vAlign w:val="center"/>
          </w:tcPr>
          <w:p w14:paraId="69C0892E"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84</w:t>
            </w:r>
          </w:p>
        </w:tc>
        <w:tc>
          <w:tcPr>
            <w:tcW w:w="7242" w:type="dxa"/>
            <w:vAlign w:val="center"/>
          </w:tcPr>
          <w:p w14:paraId="1A5B9EC0"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Nuværende loft for supplerende kapitalinstrumenter underlagt udfasning</w:t>
            </w:r>
          </w:p>
          <w:p w14:paraId="47E5FAF3"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Nuværende loft for supplerende kapitalinstrumenter underlagt udfasning i overensstemmelse med artikel 484, stk. 5, og artikel 486, stk. 4 og 5, i CRR.</w:t>
            </w:r>
          </w:p>
        </w:tc>
      </w:tr>
      <w:tr w:rsidR="00C85971" w:rsidRPr="007F4CC8" w14:paraId="5452E915" w14:textId="77777777" w:rsidTr="00D819DE">
        <w:tc>
          <w:tcPr>
            <w:tcW w:w="1172" w:type="dxa"/>
            <w:vAlign w:val="center"/>
          </w:tcPr>
          <w:p w14:paraId="0F29AEF6" w14:textId="77777777" w:rsidR="00C85971" w:rsidRPr="007F4CC8" w:rsidRDefault="00C85971" w:rsidP="00D819DE">
            <w:pPr>
              <w:spacing w:after="200"/>
              <w:rPr>
                <w:sz w:val="24"/>
                <w:rFonts w:ascii="Times New Roman" w:hAnsi="Times New Roman" w:cs="Times New Roman"/>
              </w:rPr>
            </w:pPr>
            <w:r>
              <w:rPr>
                <w:sz w:val="24"/>
                <w:rFonts w:ascii="Times New Roman" w:hAnsi="Times New Roman"/>
              </w:rPr>
              <w:t xml:space="preserve">85</w:t>
            </w:r>
          </w:p>
        </w:tc>
        <w:tc>
          <w:tcPr>
            <w:tcW w:w="7242" w:type="dxa"/>
            <w:vAlign w:val="center"/>
          </w:tcPr>
          <w:p w14:paraId="4D29D2C2"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Beløb ikke indregnet i den supplerende kapital som følge af loft (overskridelse af loft efter indfrielse og forfald)</w:t>
            </w:r>
          </w:p>
          <w:p w14:paraId="58872994" w14:textId="77777777" w:rsidR="00C85971" w:rsidRPr="007F4CC8" w:rsidRDefault="00C85971" w:rsidP="00D819DE">
            <w:pPr>
              <w:spacing w:after="200"/>
              <w:jc w:val="both"/>
              <w:rPr>
                <w:sz w:val="24"/>
                <w:rFonts w:ascii="Times New Roman" w:hAnsi="Times New Roman" w:cs="Times New Roman"/>
              </w:rPr>
            </w:pPr>
            <w:r>
              <w:rPr>
                <w:sz w:val="24"/>
                <w:rFonts w:ascii="Times New Roman" w:hAnsi="Times New Roman"/>
              </w:rPr>
              <w:t xml:space="preserve">Beløb ikke indregnet i den supplerende kapital som følge af loft (overskridelse af loft efter indfrielse og forfald) i overensstemmelse med artikel 484, stk. 5, og artikel 486, stk. 4 og 5, i CRR.</w:t>
            </w:r>
          </w:p>
        </w:tc>
      </w:tr>
    </w:tbl>
    <w:p w14:paraId="0BC4AE10" w14:textId="77777777" w:rsidR="00C85971" w:rsidRPr="007F4CC8" w:rsidRDefault="00C85971" w:rsidP="00C85971">
      <w:pPr>
        <w:jc w:val="both"/>
        <w:rPr>
          <w:rFonts w:ascii="Times New Roman" w:hAnsi="Times New Roman" w:cs="Times New Roman"/>
          <w:bCs/>
          <w:sz w:val="24"/>
        </w:rPr>
      </w:pPr>
    </w:p>
    <w:p w14:paraId="135650B7" w14:textId="77777777" w:rsidR="00C85971" w:rsidRPr="007F4CC8" w:rsidRDefault="00C85971" w:rsidP="00C85971">
      <w:pPr>
        <w:rPr>
          <w:rFonts w:ascii="Times New Roman" w:hAnsi="Times New Roman" w:cs="Times New Roman"/>
          <w:sz w:val="24"/>
        </w:rPr>
      </w:pPr>
    </w:p>
    <w:p w14:paraId="71633918" w14:textId="77777777" w:rsidR="00C85971" w:rsidRPr="007F4CC8" w:rsidRDefault="00C85971" w:rsidP="00C85971">
      <w:pPr>
        <w:rPr>
          <w:sz w:val="24"/>
          <w:rFonts w:ascii="Times New Roman" w:hAnsi="Times New Roman" w:cs="Times New Roman"/>
        </w:rPr>
      </w:pPr>
      <w:r>
        <w:br w:type="page"/>
      </w:r>
    </w:p>
    <w:p w14:paraId="06924BE7" w14:textId="77777777" w:rsidR="00C85971" w:rsidRPr="007F4CC8" w:rsidRDefault="00C85971" w:rsidP="00C85971">
      <w:pPr>
        <w:rPr>
          <w:b/>
          <w:bCs/>
          <w:sz w:val="24"/>
          <w:rFonts w:ascii="Times New Roman" w:hAnsi="Times New Roman" w:cs="Times New Roman"/>
        </w:rPr>
      </w:pPr>
      <w:r>
        <w:rPr>
          <w:b/>
          <w:sz w:val="24"/>
          <w:rFonts w:ascii="Times New Roman" w:hAnsi="Times New Roman"/>
        </w:rPr>
        <w:t xml:space="preserve">Skema EU CC2 – Afstemning mellem lovpligtigt kapitalgrundlag og balancen i de reviderede regnskaber</w:t>
      </w:r>
    </w:p>
    <w:p w14:paraId="35768BE6" w14:textId="77777777" w:rsidR="00C85971" w:rsidRPr="007F4CC8" w:rsidRDefault="00C85971" w:rsidP="00C85971">
      <w:pPr>
        <w:rPr>
          <w:rFonts w:ascii="Times New Roman" w:hAnsi="Times New Roman" w:cs="Times New Roman"/>
          <w:b/>
          <w:sz w:val="24"/>
        </w:rPr>
      </w:pPr>
    </w:p>
    <w:p w14:paraId="1FE1CC20" w14:textId="77777777" w:rsidR="00C85971" w:rsidRPr="007F4CC8" w:rsidRDefault="00C85971" w:rsidP="00C85971">
      <w:pPr>
        <w:numPr>
          <w:ilvl w:val="0"/>
          <w:numId w:val="2"/>
        </w:numPr>
        <w:spacing w:before="120" w:after="120"/>
        <w:ind w:left="357" w:hanging="357"/>
        <w:jc w:val="both"/>
        <w:rPr>
          <w:bCs/>
          <w:sz w:val="24"/>
          <w:rFonts w:ascii="Times New Roman" w:hAnsi="Times New Roman" w:cs="Times New Roman"/>
        </w:rPr>
      </w:pPr>
      <w:r>
        <w:rPr>
          <w:sz w:val="24"/>
          <w:rFonts w:ascii="Times New Roman" w:hAnsi="Times New Roman"/>
        </w:rPr>
        <w:t xml:space="preserve">Institutterne offentliggør de oplysninger, som er omhandlet i artikel 437, litra a), i CRR, ved at følge instrukserne i dette bilag til udfyldelse af skema EU CC2, som findes i bilag VII til nærværende gennemførelsesforordning.</w:t>
      </w:r>
    </w:p>
    <w:p w14:paraId="3460ABBC" w14:textId="77777777" w:rsidR="00C85971" w:rsidRPr="007F4CC8" w:rsidRDefault="00C85971" w:rsidP="00C85971">
      <w:pPr>
        <w:numPr>
          <w:ilvl w:val="0"/>
          <w:numId w:val="2"/>
        </w:numPr>
        <w:spacing w:before="120" w:after="120"/>
        <w:ind w:left="357" w:hanging="357"/>
        <w:jc w:val="both"/>
        <w:rPr>
          <w:bCs/>
          <w:sz w:val="24"/>
          <w:rFonts w:ascii="Times New Roman" w:hAnsi="Times New Roman" w:cs="Times New Roman"/>
        </w:rPr>
      </w:pPr>
      <w:r>
        <w:rPr>
          <w:sz w:val="24"/>
          <w:rFonts w:ascii="Times New Roman" w:hAnsi="Times New Roman"/>
        </w:rPr>
        <w:t xml:space="preserve">Institutterne offentliggør balancen, der findes i deres offentliggjorte regnskaber.</w:t>
      </w:r>
      <w:r>
        <w:rPr>
          <w:sz w:val="24"/>
          <w:rFonts w:ascii="Times New Roman" w:hAnsi="Times New Roman"/>
        </w:rPr>
        <w:t xml:space="preserve"> </w:t>
      </w:r>
      <w:r>
        <w:rPr>
          <w:sz w:val="24"/>
          <w:rFonts w:ascii="Times New Roman" w:hAnsi="Times New Roman"/>
        </w:rPr>
        <w:t xml:space="preserve">Regnskaberne skal være de reviderede regnskaber til offentliggørelserne ved regnskabsårets afslutning.</w:t>
      </w:r>
    </w:p>
    <w:p w14:paraId="7BA92967" w14:textId="77777777" w:rsidR="00C85971" w:rsidRPr="007F4CC8" w:rsidRDefault="00C85971" w:rsidP="00C85971">
      <w:pPr>
        <w:numPr>
          <w:ilvl w:val="0"/>
          <w:numId w:val="2"/>
        </w:numPr>
        <w:spacing w:before="120" w:after="120"/>
        <w:ind w:left="357" w:hanging="357"/>
        <w:jc w:val="both"/>
        <w:rPr>
          <w:bCs/>
          <w:sz w:val="24"/>
          <w:rFonts w:ascii="Times New Roman" w:hAnsi="Times New Roman" w:cs="Times New Roman"/>
        </w:rPr>
      </w:pPr>
      <w:r>
        <w:rPr>
          <w:sz w:val="24"/>
          <w:rFonts w:ascii="Times New Roman" w:hAnsi="Times New Roman"/>
        </w:rPr>
        <w:t xml:space="preserve">Rækkerne i skemaet er fleksible og skal offentliggøres af institutterne i overensstemmelse med deres regnskaber.</w:t>
      </w:r>
      <w:r>
        <w:rPr>
          <w:sz w:val="24"/>
          <w:rFonts w:ascii="Times New Roman" w:hAnsi="Times New Roman"/>
        </w:rPr>
        <w:t xml:space="preserve"> </w:t>
      </w:r>
      <w:r>
        <w:rPr>
          <w:sz w:val="24"/>
          <w:rFonts w:ascii="Times New Roman" w:hAnsi="Times New Roman"/>
        </w:rPr>
        <w:t xml:space="preserve">Kapitalgrundlagsposter i reviderede regnskaber skal omfatte alle poster, der indgår i eller fratrækkes det lovpligtige kapitalgrundlag, herunder egenkapital, forpligtelser, f.eks. gæld, eller andre balanceførte linjer, der påvirker det lovpligtige kapitalgrundlag, som f.eks. immaterielle aktiver, goodwill og udskudte skatteaktiver.</w:t>
      </w:r>
      <w:r>
        <w:rPr>
          <w:sz w:val="24"/>
          <w:rFonts w:ascii="Times New Roman" w:hAnsi="Times New Roman"/>
        </w:rPr>
        <w:t xml:space="preserve"> </w:t>
      </w:r>
      <w:r>
        <w:rPr>
          <w:sz w:val="24"/>
          <w:rFonts w:ascii="Times New Roman" w:hAnsi="Times New Roman"/>
        </w:rPr>
        <w:t xml:space="preserve">Institutterne skal udvide kapitalgrundlagsposterne på balancen, efter hvad der er nødvendigt for at sikre, at alle komponenter i skemaet for sammensætningen af kapitalgrundlaget (skema EU CC1) fremstår separat.</w:t>
      </w:r>
      <w:r>
        <w:rPr>
          <w:sz w:val="24"/>
          <w:rFonts w:ascii="Times New Roman" w:hAnsi="Times New Roman"/>
        </w:rPr>
        <w:t xml:space="preserve"> </w:t>
      </w:r>
      <w:r>
        <w:rPr>
          <w:sz w:val="24"/>
          <w:rFonts w:ascii="Times New Roman" w:hAnsi="Times New Roman"/>
        </w:rPr>
        <w:t xml:space="preserve">Institutterne skal kun udvide balanceførte elementer til den detaljeringsgrad, som er nødvendig for at udskille de komponenter, der kræves i skema EU CC1.</w:t>
      </w:r>
      <w:r>
        <w:rPr>
          <w:sz w:val="24"/>
          <w:rFonts w:ascii="Times New Roman" w:hAnsi="Times New Roman"/>
        </w:rPr>
        <w:t xml:space="preserve"> </w:t>
      </w:r>
      <w:r>
        <w:rPr>
          <w:sz w:val="24"/>
          <w:rFonts w:ascii="Times New Roman" w:hAnsi="Times New Roman"/>
        </w:rPr>
        <w:t xml:space="preserve">Offentliggørelsen skal stå i rimeligt forhold til kompleksiteten af instituttets balance.</w:t>
      </w:r>
    </w:p>
    <w:p w14:paraId="23A65A04" w14:textId="77777777" w:rsidR="00C85971" w:rsidRPr="007F4CC8" w:rsidRDefault="00C85971" w:rsidP="00C85971">
      <w:pPr>
        <w:numPr>
          <w:ilvl w:val="0"/>
          <w:numId w:val="2"/>
        </w:numPr>
        <w:spacing w:before="120" w:after="120"/>
        <w:ind w:left="357" w:hanging="357"/>
        <w:jc w:val="both"/>
        <w:rPr>
          <w:bCs/>
          <w:sz w:val="24"/>
          <w:rFonts w:ascii="Times New Roman" w:hAnsi="Times New Roman" w:cs="Times New Roman"/>
        </w:rPr>
      </w:pPr>
      <w:r>
        <w:rPr>
          <w:sz w:val="24"/>
          <w:rFonts w:ascii="Times New Roman" w:hAnsi="Times New Roman"/>
        </w:rPr>
        <w:t xml:space="preserve">Kolonnerne er faste og skal offentliggøres som følger:</w:t>
      </w:r>
    </w:p>
    <w:p w14:paraId="3FD82033" w14:textId="77777777" w:rsidR="00C85971" w:rsidRPr="007F4CC8" w:rsidRDefault="00C85971" w:rsidP="00C85971">
      <w:pPr>
        <w:pStyle w:val="numberedparagraph"/>
        <w:numPr>
          <w:ilvl w:val="1"/>
          <w:numId w:val="3"/>
        </w:numPr>
        <w:tabs>
          <w:tab w:val="clear" w:pos="-180"/>
        </w:tabs>
        <w:spacing w:line="240" w:lineRule="auto"/>
        <w:ind w:left="709"/>
        <w:rPr>
          <w:sz w:val="24"/>
          <w:rFonts w:ascii="Times New Roman" w:hAnsi="Times New Roman" w:cs="Times New Roman"/>
        </w:rPr>
      </w:pPr>
      <w:r>
        <w:rPr>
          <w:sz w:val="24"/>
          <w:rFonts w:ascii="Times New Roman" w:hAnsi="Times New Roman"/>
        </w:rPr>
        <w:t xml:space="preserve">Kolonne a:</w:t>
      </w:r>
      <w:r>
        <w:rPr>
          <w:sz w:val="24"/>
          <w:rFonts w:ascii="Times New Roman" w:hAnsi="Times New Roman"/>
        </w:rPr>
        <w:t xml:space="preserve"> </w:t>
      </w:r>
      <w:r>
        <w:rPr>
          <w:sz w:val="24"/>
          <w:rFonts w:ascii="Times New Roman" w:hAnsi="Times New Roman"/>
        </w:rPr>
        <w:t xml:space="preserve">Institutterne skal medtage de tal, der indberettes på balancen og inkluderes i deres offentliggjorte regnskaber i overensstemmelse med den regnskabsmæssige ramme for konsolideringen.</w:t>
      </w:r>
    </w:p>
    <w:p w14:paraId="615808B6" w14:textId="77777777" w:rsidR="00C85971" w:rsidRPr="007F4CC8" w:rsidRDefault="00C85971" w:rsidP="00C85971">
      <w:pPr>
        <w:pStyle w:val="numberedparagraph"/>
        <w:numPr>
          <w:ilvl w:val="1"/>
          <w:numId w:val="3"/>
        </w:numPr>
        <w:tabs>
          <w:tab w:val="clear" w:pos="-180"/>
        </w:tabs>
        <w:spacing w:line="240" w:lineRule="auto"/>
        <w:ind w:left="709"/>
        <w:rPr>
          <w:sz w:val="24"/>
          <w:rFonts w:ascii="Times New Roman" w:hAnsi="Times New Roman" w:cs="Times New Roman"/>
        </w:rPr>
      </w:pPr>
      <w:r>
        <w:rPr>
          <w:sz w:val="24"/>
          <w:rFonts w:ascii="Times New Roman" w:hAnsi="Times New Roman"/>
        </w:rPr>
        <w:t xml:space="preserve">Kolonne b:</w:t>
      </w:r>
      <w:r>
        <w:rPr>
          <w:sz w:val="24"/>
          <w:rFonts w:ascii="Times New Roman" w:hAnsi="Times New Roman"/>
        </w:rPr>
        <w:t xml:space="preserve"> </w:t>
      </w:r>
      <w:r>
        <w:rPr>
          <w:sz w:val="24"/>
          <w:rFonts w:ascii="Times New Roman" w:hAnsi="Times New Roman"/>
        </w:rPr>
        <w:t xml:space="preserve">Institutterne skal offentliggøre de tal, der svarer til rammerne for tilsynsmæssig konsolidering.</w:t>
      </w:r>
    </w:p>
    <w:p w14:paraId="09531333" w14:textId="77777777" w:rsidR="00C85971" w:rsidRPr="007F4CC8" w:rsidRDefault="00C85971" w:rsidP="00C85971">
      <w:pPr>
        <w:pStyle w:val="numberedparagraph"/>
        <w:numPr>
          <w:ilvl w:val="1"/>
          <w:numId w:val="3"/>
        </w:numPr>
        <w:tabs>
          <w:tab w:val="clear" w:pos="-180"/>
        </w:tabs>
        <w:spacing w:line="240" w:lineRule="auto"/>
        <w:ind w:left="709"/>
        <w:rPr>
          <w:sz w:val="24"/>
          <w:rFonts w:ascii="Times New Roman" w:hAnsi="Times New Roman" w:cs="Times New Roman"/>
        </w:rPr>
      </w:pPr>
      <w:r>
        <w:rPr>
          <w:sz w:val="24"/>
          <w:rFonts w:ascii="Times New Roman" w:hAnsi="Times New Roman"/>
        </w:rPr>
        <w:t xml:space="preserve">Kolonne c:</w:t>
      </w:r>
      <w:r>
        <w:rPr>
          <w:sz w:val="24"/>
          <w:rFonts w:ascii="Times New Roman" w:hAnsi="Times New Roman"/>
        </w:rPr>
        <w:t xml:space="preserve"> </w:t>
      </w:r>
      <w:r>
        <w:rPr>
          <w:sz w:val="24"/>
          <w:rFonts w:ascii="Times New Roman" w:hAnsi="Times New Roman"/>
        </w:rPr>
        <w:t xml:space="preserve">Institutterne skal medtage krydshenvisningen mellem kapitalgrundlagsposten i skema EU CC2 og de relevante poster i skemaet til offentliggørelse af kapitalgrundlag, skema EU CC1.</w:t>
      </w:r>
      <w:r>
        <w:rPr>
          <w:sz w:val="24"/>
          <w:rFonts w:ascii="Times New Roman" w:hAnsi="Times New Roman"/>
        </w:rPr>
        <w:t xml:space="preserve"> </w:t>
      </w:r>
      <w:r>
        <w:rPr>
          <w:sz w:val="24"/>
          <w:rFonts w:ascii="Times New Roman" w:hAnsi="Times New Roman"/>
        </w:rPr>
        <w:t xml:space="preserve">Henvisningen i kolonne c i skema CC2 knyttes til referencen i kolonne b i skema EU CC1.</w:t>
      </w:r>
    </w:p>
    <w:p w14:paraId="53144047" w14:textId="77777777" w:rsidR="00C85971" w:rsidRPr="007F4CC8" w:rsidRDefault="00C85971" w:rsidP="00C85971">
      <w:pPr>
        <w:numPr>
          <w:ilvl w:val="0"/>
          <w:numId w:val="2"/>
        </w:numPr>
        <w:spacing w:before="120" w:after="120"/>
        <w:ind w:left="357" w:hanging="357"/>
        <w:jc w:val="both"/>
        <w:rPr>
          <w:bCs/>
          <w:sz w:val="24"/>
          <w:rFonts w:ascii="Times New Roman" w:hAnsi="Times New Roman" w:cs="Times New Roman"/>
        </w:rPr>
      </w:pPr>
      <w:r>
        <w:rPr>
          <w:sz w:val="24"/>
          <w:rFonts w:ascii="Times New Roman" w:hAnsi="Times New Roman"/>
        </w:rPr>
        <w:t xml:space="preserve"> </w:t>
      </w:r>
      <w:r>
        <w:rPr>
          <w:sz w:val="24"/>
          <w:rFonts w:ascii="Times New Roman" w:hAnsi="Times New Roman"/>
        </w:rPr>
        <w:t xml:space="preserve">I følgende tilfælde, hvor omfanget af den regnskabsmæssige konsolidering og den tilsynsmæssige konsolidering for et institut er nøjagtig det samme, kombineres kolonne a og b i dette skema, og dette skal oplyses tydeligt:</w:t>
      </w:r>
    </w:p>
    <w:p w14:paraId="4AF2B8D6" w14:textId="77777777" w:rsidR="00C85971" w:rsidRPr="007F4CC8" w:rsidRDefault="00C85971" w:rsidP="00C85971">
      <w:pPr>
        <w:pStyle w:val="numberedparagraph"/>
        <w:numPr>
          <w:ilvl w:val="1"/>
          <w:numId w:val="3"/>
        </w:numPr>
        <w:spacing w:line="240" w:lineRule="auto"/>
        <w:ind w:left="709"/>
        <w:rPr>
          <w:bCs/>
          <w:sz w:val="24"/>
          <w:rFonts w:ascii="Times New Roman" w:hAnsi="Times New Roman" w:cs="Times New Roman"/>
        </w:rPr>
      </w:pPr>
      <w:r>
        <w:rPr>
          <w:sz w:val="24"/>
          <w:rFonts w:ascii="Times New Roman" w:hAnsi="Times New Roman"/>
        </w:rPr>
        <w:t xml:space="preserve">Når institutterne opfylder forpligtelserne i ottende del af CRR på konsolideret eller delkonsolideret niveau, men konsolideringens omfang og den konsolideringsmetode, der anvendes i balancen i regnskaberne, er identisk med konsolideringens omfang og konsolideringsmetoden fastsat i henhold til første del, afsnit II, kapitel 2, i CRR, og institutterne klart erklærer, at der ikke er forskel på de respektive omfang af og metoder for konsolidering.</w:t>
      </w:r>
    </w:p>
    <w:p w14:paraId="5CA9C9CD" w14:textId="77777777" w:rsidR="00C85971" w:rsidRPr="007F4CC8" w:rsidRDefault="00C85971" w:rsidP="00C85971">
      <w:pPr>
        <w:ind w:left="426"/>
        <w:jc w:val="both"/>
        <w:rPr>
          <w:rFonts w:ascii="Times New Roman" w:hAnsi="Times New Roman" w:cs="Times New Roman"/>
          <w:bCs/>
          <w:sz w:val="24"/>
        </w:rPr>
      </w:pPr>
    </w:p>
    <w:p w14:paraId="78AF9210" w14:textId="77777777" w:rsidR="00C85971" w:rsidRPr="007F4CC8" w:rsidRDefault="00C85971" w:rsidP="00C85971">
      <w:pPr>
        <w:pStyle w:val="numberedparagraph"/>
        <w:numPr>
          <w:ilvl w:val="1"/>
          <w:numId w:val="3"/>
        </w:numPr>
        <w:spacing w:line="240" w:lineRule="auto"/>
        <w:ind w:left="709"/>
        <w:rPr>
          <w:bCs/>
          <w:sz w:val="24"/>
          <w:rFonts w:ascii="Times New Roman" w:hAnsi="Times New Roman" w:cs="Times New Roman"/>
        </w:rPr>
      </w:pPr>
      <w:r>
        <w:rPr>
          <w:sz w:val="24"/>
          <w:rFonts w:ascii="Times New Roman" w:hAnsi="Times New Roman"/>
        </w:rPr>
        <w:t xml:space="preserve">Når institutterne opfylder forpligtelserne i ottende del af CRR på individuelt grundlag.</w:t>
      </w:r>
    </w:p>
    <w:p w14:paraId="028372CB" w14:textId="77777777" w:rsidR="00C85971" w:rsidRPr="007F4CC8" w:rsidRDefault="00C85971" w:rsidP="00C85971">
      <w:pPr>
        <w:pStyle w:val="ListParagraph"/>
        <w:rPr>
          <w:rFonts w:ascii="Times New Roman" w:hAnsi="Times New Roman"/>
          <w:bCs/>
          <w:sz w:val="24"/>
          <w:szCs w:val="24"/>
        </w:rPr>
      </w:pPr>
    </w:p>
    <w:p w14:paraId="07D77658" w14:textId="77777777" w:rsidR="00C85971" w:rsidRPr="007F4CC8" w:rsidRDefault="00C85971" w:rsidP="00C85971">
      <w:pPr>
        <w:rPr>
          <w:b/>
          <w:bCs/>
          <w:sz w:val="24"/>
          <w:rFonts w:ascii="Times New Roman" w:hAnsi="Times New Roman" w:cs="Times New Roman"/>
        </w:rPr>
      </w:pPr>
      <w:r>
        <w:rPr>
          <w:b/>
          <w:sz w:val="24"/>
          <w:rFonts w:ascii="Times New Roman" w:hAnsi="Times New Roman"/>
        </w:rPr>
        <w:t xml:space="preserve">Tabel EU CCA — Hovedtræk ved lovpligtige kapitalgrundlagsinstrumenter og nedskrivningsrelevante passivinstrumenter.</w:t>
      </w:r>
    </w:p>
    <w:p w14:paraId="6FE3C1F8" w14:textId="77777777" w:rsidR="00C85971" w:rsidRPr="007F4CC8" w:rsidRDefault="00C85971" w:rsidP="00C85971">
      <w:pPr>
        <w:rPr>
          <w:rFonts w:ascii="Times New Roman" w:hAnsi="Times New Roman" w:cs="Times New Roman"/>
          <w:b/>
          <w:bCs/>
          <w:sz w:val="24"/>
        </w:rPr>
      </w:pPr>
    </w:p>
    <w:p w14:paraId="0F953A2D" w14:textId="77777777" w:rsidR="00C85971" w:rsidRPr="007F4CC8" w:rsidRDefault="00C85971" w:rsidP="00C85971">
      <w:pPr>
        <w:numPr>
          <w:ilvl w:val="0"/>
          <w:numId w:val="2"/>
        </w:numPr>
        <w:spacing w:before="120" w:after="120"/>
        <w:ind w:left="357" w:hanging="357"/>
        <w:jc w:val="both"/>
        <w:rPr>
          <w:bCs/>
          <w:sz w:val="24"/>
          <w:rFonts w:ascii="Times New Roman" w:hAnsi="Times New Roman" w:cs="Times New Roman"/>
        </w:rPr>
      </w:pPr>
      <w:r>
        <w:rPr>
          <w:sz w:val="24"/>
          <w:rFonts w:ascii="Times New Roman" w:hAnsi="Times New Roman"/>
        </w:rPr>
        <w:t xml:space="preserve">Institutterne offentliggør de oplysninger, som er omhandlet i artikel 437, litra b) og c), i CRR, ved at følge instrukserne i dette bilag til udfyldelse af tabel EU CCA, som findes i bilag VII til nærværende gennemførelsesforordning.</w:t>
      </w:r>
    </w:p>
    <w:p w14:paraId="6AE59B0D" w14:textId="77777777" w:rsidR="00C85971" w:rsidRPr="007F4CC8" w:rsidRDefault="00C85971" w:rsidP="00C85971">
      <w:pPr>
        <w:numPr>
          <w:ilvl w:val="0"/>
          <w:numId w:val="2"/>
        </w:numPr>
        <w:spacing w:before="120" w:after="120"/>
        <w:ind w:left="357" w:hanging="357"/>
        <w:jc w:val="both"/>
        <w:rPr>
          <w:bCs/>
          <w:sz w:val="24"/>
          <w:rFonts w:ascii="Times New Roman" w:hAnsi="Times New Roman" w:cs="Times New Roman"/>
        </w:rPr>
      </w:pPr>
      <w:r>
        <w:rPr>
          <w:sz w:val="24"/>
          <w:rFonts w:ascii="Times New Roman" w:hAnsi="Times New Roman"/>
        </w:rPr>
        <w:t xml:space="preserve">Institutterne skal udfylde tabel EU CAA for følgende kategorier:</w:t>
      </w:r>
      <w:r>
        <w:rPr>
          <w:sz w:val="24"/>
          <w:rFonts w:ascii="Times New Roman" w:hAnsi="Times New Roman"/>
        </w:rPr>
        <w:t xml:space="preserve"> </w:t>
      </w:r>
      <w:r>
        <w:rPr>
          <w:sz w:val="24"/>
          <w:rFonts w:ascii="Times New Roman" w:hAnsi="Times New Roman"/>
        </w:rPr>
        <w:t xml:space="preserve">egentlige kernekapitalinstrumenter, hybride kernekapitalinstrumenter, supplerende kapitalinstrumenter og, som omhandlet i artikel 72b i CRR, nedskrivningsrelevante passivinstrumenter.</w:t>
      </w:r>
    </w:p>
    <w:p w14:paraId="057A1F3D" w14:textId="77777777" w:rsidR="00C85971" w:rsidRPr="007F4CC8" w:rsidRDefault="00C85971" w:rsidP="00C85971">
      <w:pPr>
        <w:numPr>
          <w:ilvl w:val="0"/>
          <w:numId w:val="2"/>
        </w:numPr>
        <w:spacing w:before="120" w:after="120"/>
        <w:ind w:left="357" w:hanging="357"/>
        <w:jc w:val="both"/>
        <w:rPr>
          <w:bCs/>
          <w:sz w:val="24"/>
          <w:rFonts w:ascii="Times New Roman" w:hAnsi="Times New Roman" w:cs="Times New Roman"/>
        </w:rPr>
      </w:pPr>
      <w:r>
        <w:rPr>
          <w:sz w:val="24"/>
          <w:rFonts w:ascii="Times New Roman" w:hAnsi="Times New Roman"/>
        </w:rPr>
        <w:t xml:space="preserve">Tabellerne skal omfatte særskilte kolonner med trækkene ved hvert kapitalgrundlagsinstrument og ved nedskrivningsrelevante passivinstrumenter.</w:t>
      </w:r>
      <w:r>
        <w:rPr>
          <w:sz w:val="24"/>
          <w:rFonts w:ascii="Times New Roman" w:hAnsi="Times New Roman"/>
        </w:rPr>
        <w:t xml:space="preserve"> </w:t>
      </w:r>
      <w:r>
        <w:rPr>
          <w:sz w:val="24"/>
          <w:rFonts w:ascii="Times New Roman" w:hAnsi="Times New Roman"/>
        </w:rPr>
        <w:t xml:space="preserve">Hvis forskellige instrumenter i samme kategori har identiske træk, kan institutterne nøjes med at udfylde én kolonne, som angiver disse identiske træk og identificerer de udstedelser, som de identiske træk vedrører.</w:t>
      </w:r>
      <w:r>
        <w:rPr>
          <w:sz w:val="24"/>
          <w:rFonts w:ascii="Times New Roman" w:hAnsi="Times New Roman"/>
        </w:rPr>
        <w:t xml:space="preserve"> </w:t>
      </w:r>
      <w:r>
        <w:rPr>
          <w:sz w:val="24"/>
          <w:rFonts w:ascii="Times New Roman" w:hAnsi="Times New Roman"/>
        </w:rPr>
        <w:t xml:space="preserve">Når institutterne offentliggør kolonnerne for disse instrumenter, skal de gruppere dem under tre afsnit (horisontalt langs tabellen) for at angive, om de er til opfyldelse af krav om i) kapitalgrundlag (men ikke nedskrivningsrelevante passiver),</w:t>
      </w:r>
      <w:r>
        <w:rPr>
          <w:sz w:val="24"/>
          <w:rFonts w:ascii="Times New Roman" w:hAnsi="Times New Roman"/>
        </w:rPr>
        <w:t xml:space="preserve"> </w:t>
      </w:r>
      <w:r>
        <w:rPr>
          <w:sz w:val="24"/>
          <w:rFonts w:ascii="Times New Roman" w:hAnsi="Times New Roman"/>
        </w:rPr>
        <w:t xml:space="preserve">ii) både krav om kapitalgrundlag og krav om nedskrivningsrelevante passiver</w:t>
      </w:r>
      <w:r>
        <w:rPr>
          <w:sz w:val="24"/>
          <w:rFonts w:ascii="Times New Roman" w:hAnsi="Times New Roman"/>
        </w:rPr>
        <w:t xml:space="preserve"> </w:t>
      </w:r>
      <w:r>
        <w:rPr>
          <w:sz w:val="24"/>
          <w:rFonts w:ascii="Times New Roman" w:hAnsi="Times New Roman"/>
        </w:rPr>
        <w:t xml:space="preserve">eller iii) kun krav om nedskrivningsrelevante passiver (men ikke om kapitalgrundlag).</w:t>
      </w:r>
      <w:r>
        <w:tab/>
      </w:r>
    </w:p>
    <w:p w14:paraId="390D0EA6" w14:textId="77777777" w:rsidR="00C85971" w:rsidRPr="007F4CC8" w:rsidRDefault="00C85971" w:rsidP="00C85971">
      <w:pPr>
        <w:numPr>
          <w:ilvl w:val="0"/>
          <w:numId w:val="2"/>
        </w:numPr>
        <w:spacing w:before="120" w:after="120"/>
        <w:ind w:left="357" w:hanging="357"/>
        <w:jc w:val="both"/>
        <w:rPr>
          <w:bCs/>
          <w:sz w:val="24"/>
          <w:rFonts w:ascii="Times New Roman" w:hAnsi="Times New Roman" w:cs="Times New Roman"/>
        </w:rPr>
      </w:pPr>
      <w:r>
        <w:rPr>
          <w:sz w:val="24"/>
          <w:rFonts w:ascii="Times New Roman" w:hAnsi="Times New Roman"/>
        </w:rPr>
        <w:t xml:space="preserve">I forbindelse med nedskrivningsrelevante passivinstrumenter, som ikke er efterstillet udelukkede passiver, skal institutterne kun offentliggøre værdipapirer, som er fungible, omsættelige finansielle instrumenter, bortset fra lån og indskud.</w:t>
      </w:r>
    </w:p>
    <w:p w14:paraId="44F7C594" w14:textId="77777777" w:rsidR="00C85971" w:rsidRPr="007F4CC8" w:rsidRDefault="00C85971" w:rsidP="00C85971">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7661"/>
      </w:tblGrid>
      <w:tr w:rsidR="00C85971" w:rsidRPr="007F4CC8" w14:paraId="38E4F858" w14:textId="77777777" w:rsidTr="00D819DE">
        <w:trPr>
          <w:trHeight w:val="259"/>
        </w:trPr>
        <w:tc>
          <w:tcPr>
            <w:tcW w:w="8691" w:type="dxa"/>
            <w:gridSpan w:val="2"/>
            <w:shd w:val="clear" w:color="auto" w:fill="D9D9D9" w:themeFill="background1" w:themeFillShade="D9"/>
          </w:tcPr>
          <w:p w14:paraId="70639F58" w14:textId="77777777" w:rsidR="00C85971" w:rsidRPr="007F4CC8" w:rsidRDefault="00C85971" w:rsidP="00D819DE">
            <w:pPr>
              <w:rPr>
                <w:b/>
                <w:bCs/>
                <w:color w:val="000000"/>
                <w:sz w:val="24"/>
                <w:rFonts w:ascii="Times New Roman" w:eastAsia="Times New Roman" w:hAnsi="Times New Roman" w:cs="Times New Roman"/>
              </w:rPr>
            </w:pPr>
            <w:r>
              <w:rPr>
                <w:b/>
                <w:color w:val="000000"/>
                <w:sz w:val="24"/>
                <w:rFonts w:ascii="Times New Roman" w:hAnsi="Times New Roman"/>
              </w:rPr>
              <w:t xml:space="preserve">Instrukser til udfyldelse af tabellen om hovedtræk ved lovpligtige kapitalgrundlagsinstrumenter og nedskrivningsrelevante passiver</w:t>
            </w:r>
          </w:p>
        </w:tc>
      </w:tr>
      <w:tr w:rsidR="00C85971" w:rsidRPr="007F4CC8" w14:paraId="3175F974" w14:textId="77777777" w:rsidTr="00D819DE">
        <w:trPr>
          <w:trHeight w:val="259"/>
        </w:trPr>
        <w:tc>
          <w:tcPr>
            <w:tcW w:w="1030" w:type="dxa"/>
            <w:shd w:val="clear" w:color="auto" w:fill="D9D9D9" w:themeFill="background1" w:themeFillShade="D9"/>
            <w:vAlign w:val="center"/>
          </w:tcPr>
          <w:p w14:paraId="431807BC" w14:textId="77777777" w:rsidR="00C85971" w:rsidRPr="007F4CC8" w:rsidRDefault="00C85971" w:rsidP="00D819DE">
            <w:pPr>
              <w:rPr>
                <w:b/>
                <w:bCs/>
                <w:color w:val="000000"/>
                <w:sz w:val="24"/>
                <w:rFonts w:ascii="Times New Roman" w:eastAsia="Times New Roman" w:hAnsi="Times New Roman" w:cs="Times New Roman"/>
              </w:rPr>
            </w:pPr>
            <w:r>
              <w:rPr>
                <w:b/>
                <w:color w:val="000000"/>
                <w:sz w:val="24"/>
                <w:rFonts w:ascii="Times New Roman" w:hAnsi="Times New Roman"/>
              </w:rPr>
              <w:t xml:space="preserve">Række nr.</w:t>
            </w:r>
          </w:p>
        </w:tc>
        <w:tc>
          <w:tcPr>
            <w:tcW w:w="7661" w:type="dxa"/>
            <w:shd w:val="clear" w:color="auto" w:fill="D9D9D9" w:themeFill="background1" w:themeFillShade="D9"/>
            <w:noWrap/>
            <w:vAlign w:val="bottom"/>
          </w:tcPr>
          <w:p w14:paraId="0BED80E1" w14:textId="77777777" w:rsidR="00C85971" w:rsidRPr="007F4CC8" w:rsidRDefault="00C85971" w:rsidP="00D819DE">
            <w:pPr>
              <w:rPr>
                <w:b/>
                <w:bCs/>
                <w:color w:val="000000"/>
                <w:sz w:val="24"/>
                <w:rFonts w:ascii="Times New Roman" w:eastAsia="Times New Roman" w:hAnsi="Times New Roman" w:cs="Times New Roman"/>
              </w:rPr>
            </w:pPr>
            <w:r>
              <w:rPr>
                <w:b/>
                <w:color w:val="000000"/>
                <w:sz w:val="24"/>
                <w:rFonts w:ascii="Times New Roman" w:hAnsi="Times New Roman"/>
              </w:rPr>
              <w:t xml:space="preserve">Forklaring</w:t>
            </w:r>
          </w:p>
        </w:tc>
      </w:tr>
      <w:tr w:rsidR="00C85971" w:rsidRPr="007F4CC8" w14:paraId="528AC325" w14:textId="77777777" w:rsidTr="00D819DE">
        <w:trPr>
          <w:trHeight w:val="259"/>
        </w:trPr>
        <w:tc>
          <w:tcPr>
            <w:tcW w:w="1030" w:type="dxa"/>
            <w:vAlign w:val="center"/>
          </w:tcPr>
          <w:p w14:paraId="15EF9615"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1</w:t>
            </w:r>
          </w:p>
        </w:tc>
        <w:tc>
          <w:tcPr>
            <w:tcW w:w="7661" w:type="dxa"/>
            <w:shd w:val="clear" w:color="auto" w:fill="auto"/>
            <w:noWrap/>
            <w:vAlign w:val="bottom"/>
          </w:tcPr>
          <w:p w14:paraId="235D6D49"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Udsteder</w:t>
            </w:r>
          </w:p>
          <w:p w14:paraId="52365233"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Institutterne skal angive udstederens juridiske navn.</w:t>
            </w:r>
          </w:p>
          <w:p w14:paraId="08FC4FB7"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Fritekst</w:t>
            </w:r>
          </w:p>
        </w:tc>
      </w:tr>
      <w:tr w:rsidR="00C85971" w:rsidRPr="007F4CC8" w14:paraId="391998EF" w14:textId="77777777" w:rsidTr="00D819DE">
        <w:trPr>
          <w:trHeight w:val="259"/>
        </w:trPr>
        <w:tc>
          <w:tcPr>
            <w:tcW w:w="1030" w:type="dxa"/>
            <w:vAlign w:val="center"/>
          </w:tcPr>
          <w:p w14:paraId="306D4DF7"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2</w:t>
            </w:r>
          </w:p>
        </w:tc>
        <w:tc>
          <w:tcPr>
            <w:tcW w:w="7661" w:type="dxa"/>
            <w:shd w:val="clear" w:color="auto" w:fill="auto"/>
            <w:noWrap/>
            <w:vAlign w:val="bottom"/>
          </w:tcPr>
          <w:p w14:paraId="6C54C94E"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Entydigt ID (f.eks. CUSIP-, ISIN- eller Bloomberg-ID for private investeringer)</w:t>
            </w:r>
          </w:p>
          <w:p w14:paraId="0BBBA79B" w14:textId="77777777" w:rsidR="00C85971" w:rsidRPr="007F4CC8" w:rsidRDefault="00C85971" w:rsidP="00D819DE">
            <w:pPr>
              <w:spacing w:after="200"/>
              <w:jc w:val="both"/>
              <w:rPr>
                <w:sz w:val="24"/>
                <w:rFonts w:ascii="Times New Roman" w:eastAsia="Times New Roman" w:hAnsi="Times New Roman" w:cs="Times New Roman"/>
              </w:rPr>
            </w:pPr>
            <w:r>
              <w:rPr>
                <w:i/>
                <w:sz w:val="24"/>
                <w:rFonts w:ascii="Times New Roman" w:hAnsi="Times New Roman"/>
              </w:rPr>
              <w:t xml:space="preserve">Fritekst</w:t>
            </w:r>
          </w:p>
        </w:tc>
      </w:tr>
      <w:tr w:rsidR="00C85971" w:rsidRPr="007F4CC8" w14:paraId="78AC88E5" w14:textId="77777777" w:rsidTr="00D819DE">
        <w:trPr>
          <w:trHeight w:val="259"/>
        </w:trPr>
        <w:tc>
          <w:tcPr>
            <w:tcW w:w="1030" w:type="dxa"/>
            <w:vAlign w:val="center"/>
          </w:tcPr>
          <w:p w14:paraId="260CE86F"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EU-2a</w:t>
            </w:r>
          </w:p>
        </w:tc>
        <w:tc>
          <w:tcPr>
            <w:tcW w:w="7661" w:type="dxa"/>
            <w:shd w:val="clear" w:color="auto" w:fill="auto"/>
            <w:noWrap/>
            <w:vAlign w:val="bottom"/>
          </w:tcPr>
          <w:p w14:paraId="583DBB78"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Offentlig eller privat investering</w:t>
            </w:r>
          </w:p>
          <w:p w14:paraId="534DDFEE"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Institutterne skal angive, om instrumentet er offentligt eller privat placeret.</w:t>
            </w:r>
          </w:p>
          <w:p w14:paraId="6D949888" w14:textId="77777777" w:rsidR="00C85971" w:rsidRPr="007F4CC8" w:rsidRDefault="00C85971" w:rsidP="00D819DE">
            <w:pPr>
              <w:spacing w:after="200"/>
              <w:jc w:val="both"/>
              <w:rPr>
                <w:sz w:val="24"/>
                <w:rFonts w:ascii="Times New Roman" w:eastAsia="Times New Roman" w:hAnsi="Times New Roman" w:cs="Times New Roman"/>
              </w:rPr>
            </w:pPr>
            <w:r>
              <w:rPr>
                <w:i/>
                <w:sz w:val="24"/>
                <w:rFonts w:ascii="Times New Roman" w:hAnsi="Times New Roman"/>
              </w:rPr>
              <w:t xml:space="preserve">Vælg i menu:</w:t>
            </w:r>
            <w:r>
              <w:rPr>
                <w:i/>
                <w:sz w:val="24"/>
                <w:rFonts w:ascii="Times New Roman" w:hAnsi="Times New Roman"/>
              </w:rPr>
              <w:t xml:space="preserve"> </w:t>
            </w:r>
            <w:r>
              <w:rPr>
                <w:i/>
                <w:sz w:val="24"/>
                <w:rFonts w:ascii="Times New Roman" w:hAnsi="Times New Roman"/>
              </w:rPr>
              <w:t xml:space="preserve">[Offentlig] [Privat]</w:t>
            </w:r>
          </w:p>
        </w:tc>
      </w:tr>
      <w:tr w:rsidR="00C85971" w:rsidRPr="007F4CC8" w14:paraId="4C34C27E" w14:textId="77777777" w:rsidTr="00D819DE">
        <w:trPr>
          <w:trHeight w:val="259"/>
        </w:trPr>
        <w:tc>
          <w:tcPr>
            <w:tcW w:w="1030" w:type="dxa"/>
            <w:vAlign w:val="center"/>
          </w:tcPr>
          <w:p w14:paraId="0E0CC430"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3</w:t>
            </w:r>
          </w:p>
        </w:tc>
        <w:tc>
          <w:tcPr>
            <w:tcW w:w="7661" w:type="dxa"/>
            <w:shd w:val="clear" w:color="auto" w:fill="auto"/>
            <w:noWrap/>
            <w:vAlign w:val="bottom"/>
          </w:tcPr>
          <w:p w14:paraId="1ACF16D1"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Gældende lovgivning for instrumentet</w:t>
            </w:r>
          </w:p>
          <w:p w14:paraId="15AB1E4E"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Institutterne skal angive den gældende lovgivning for instrumentet.</w:t>
            </w:r>
            <w:r>
              <w:rPr>
                <w:sz w:val="24"/>
                <w:rFonts w:ascii="Times New Roman" w:hAnsi="Times New Roman"/>
              </w:rPr>
              <w:t xml:space="preserve"> </w:t>
            </w:r>
          </w:p>
          <w:p w14:paraId="60B649A9"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Fritekst</w:t>
            </w:r>
            <w:r>
              <w:rPr>
                <w:i/>
                <w:sz w:val="24"/>
                <w:rFonts w:ascii="Times New Roman" w:hAnsi="Times New Roman"/>
              </w:rPr>
              <w:t xml:space="preserve"> </w:t>
            </w:r>
          </w:p>
        </w:tc>
      </w:tr>
      <w:tr w:rsidR="00C85971" w:rsidRPr="007F4CC8" w14:paraId="4D60C6D1" w14:textId="77777777" w:rsidTr="00D819DE">
        <w:trPr>
          <w:trHeight w:val="259"/>
        </w:trPr>
        <w:tc>
          <w:tcPr>
            <w:tcW w:w="1030" w:type="dxa"/>
            <w:vAlign w:val="center"/>
          </w:tcPr>
          <w:p w14:paraId="1F163D68"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3a</w:t>
            </w:r>
          </w:p>
        </w:tc>
        <w:tc>
          <w:tcPr>
            <w:tcW w:w="7661" w:type="dxa"/>
            <w:shd w:val="clear" w:color="auto" w:fill="auto"/>
            <w:noWrap/>
            <w:vAlign w:val="bottom"/>
          </w:tcPr>
          <w:p w14:paraId="333E8C42"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Kontraktmæssig anerkendelse af afviklingsmyndigheders nedskrivnings- og konverteringsbeføjelser</w:t>
            </w:r>
          </w:p>
          <w:p w14:paraId="019792C7"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Institutterne skal angive, om instrumentet indeholder en bestemmelse, hvorved instrumentets hovedstol, ved en afgørelse fra en afviklingsmyndighed eller relevant tredjelandsmyndighed, skal nedskrives permanent eller konverteres til egentlige kernekapitalinstrumenter, som omhandlet i følgende bestemmelser, alt efter hvad der er relevant:</w:t>
            </w:r>
          </w:p>
          <w:p w14:paraId="2EE684C1"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 i forbindelse med hybride kernekapitalinstrumenter, artikel 52, stk. 1, litra p), i CRR</w:t>
            </w:r>
          </w:p>
          <w:p w14:paraId="5C7FBD40"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 i forbindelse med supplerende kapitalinstrumenter, artikel 63, litra n) eller o), i CRR</w:t>
            </w:r>
          </w:p>
          <w:p w14:paraId="2B8C1D20"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 i forbindelse med nedskrivningsrelevante passiver, artikel 72b, stk. 2, litra n), i CRR.</w:t>
            </w:r>
          </w:p>
          <w:p w14:paraId="394620C1"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 i forbindelse med ovennævnte instrumenter, som er underlagt lovgivning i et tredjeland, artikel 55 i direktiv (EU) 2019/879</w:t>
            </w:r>
            <w:r>
              <w:rPr>
                <w:rStyle w:val="FootnoteReference"/>
                <w:rFonts w:ascii="Times New Roman" w:eastAsia="Times New Roman" w:hAnsi="Times New Roman" w:cs="Times New Roman"/>
                <w:sz w:val="24"/>
                <w:lang w:eastAsia="en-GB"/>
              </w:rPr>
              <w:footnoteReference w:id="3"/>
            </w:r>
            <w:r>
              <w:rPr>
                <w:sz w:val="24"/>
                <w:rFonts w:ascii="Times New Roman" w:hAnsi="Times New Roman"/>
              </w:rPr>
              <w:t xml:space="preserve"> ("BRRD").</w:t>
            </w:r>
          </w:p>
          <w:p w14:paraId="52635491"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En nedskrivning og konvertering kan være i overensstemmelse med både artikel 55 i BRRD og et hvilket som helst af de første tre led.</w:t>
            </w:r>
          </w:p>
          <w:p w14:paraId="47B03151"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Vælg i menu:</w:t>
            </w:r>
            <w:r>
              <w:rPr>
                <w:i/>
                <w:sz w:val="24"/>
                <w:rFonts w:ascii="Times New Roman" w:hAnsi="Times New Roman"/>
              </w:rPr>
              <w:t xml:space="preserve"> </w:t>
            </w:r>
            <w:r>
              <w:rPr>
                <w:i/>
                <w:sz w:val="24"/>
                <w:rFonts w:ascii="Times New Roman" w:hAnsi="Times New Roman"/>
              </w:rPr>
              <w:t xml:space="preserve">[JA] [NEJ]</w:t>
            </w:r>
          </w:p>
        </w:tc>
      </w:tr>
      <w:tr w:rsidR="00C85971" w:rsidRPr="007F4CC8" w14:paraId="62C45590" w14:textId="77777777" w:rsidTr="00D819DE">
        <w:trPr>
          <w:trHeight w:val="259"/>
        </w:trPr>
        <w:tc>
          <w:tcPr>
            <w:tcW w:w="1030" w:type="dxa"/>
            <w:vAlign w:val="center"/>
          </w:tcPr>
          <w:p w14:paraId="14B82A54"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4</w:t>
            </w:r>
          </w:p>
        </w:tc>
        <w:tc>
          <w:tcPr>
            <w:tcW w:w="7661" w:type="dxa"/>
            <w:shd w:val="clear" w:color="auto" w:fill="auto"/>
            <w:noWrap/>
            <w:vAlign w:val="bottom"/>
          </w:tcPr>
          <w:p w14:paraId="783C894A"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Aktuel behandling under hensyntagen til overgangsbestemmelser i CRR, hvor det er relevant</w:t>
            </w:r>
          </w:p>
          <w:p w14:paraId="456BE59A"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Institutterne skal angive overgangsbehandlingen af lovpligtigt kapitalgrundlag i CRR.</w:t>
            </w:r>
            <w:r>
              <w:rPr>
                <w:sz w:val="24"/>
                <w:rFonts w:ascii="Times New Roman" w:hAnsi="Times New Roman"/>
              </w:rPr>
              <w:t xml:space="preserve"> </w:t>
            </w:r>
            <w:r>
              <w:rPr>
                <w:sz w:val="24"/>
                <w:rFonts w:ascii="Times New Roman" w:hAnsi="Times New Roman"/>
              </w:rPr>
              <w:t xml:space="preserve">Den oprindelige klassificering af instrumentet er referencepunktet uafhængigt af eventuel omklassificering i lavere lag af kapitalgrundlaget.</w:t>
            </w:r>
          </w:p>
          <w:p w14:paraId="57541963"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Vælg i menu:</w:t>
            </w:r>
            <w:r>
              <w:rPr>
                <w:i/>
                <w:sz w:val="24"/>
                <w:rFonts w:ascii="Times New Roman" w:hAnsi="Times New Roman"/>
              </w:rPr>
              <w:t xml:space="preserve"> </w:t>
            </w:r>
            <w:r>
              <w:rPr>
                <w:i/>
                <w:sz w:val="24"/>
                <w:rFonts w:ascii="Times New Roman" w:hAnsi="Times New Roman"/>
              </w:rPr>
              <w:t xml:space="preserve">[Egentlig kernekapital] [Hybrid kernekapital] [Supplerende kapital] [Ikkeanerkendt] [Ikke relevant]</w:t>
            </w:r>
          </w:p>
          <w:p w14:paraId="505EE001" w14:textId="77777777" w:rsidR="00C85971" w:rsidRPr="007F4CC8" w:rsidRDefault="00C85971" w:rsidP="00D819DE">
            <w:pPr>
              <w:spacing w:after="200"/>
              <w:jc w:val="both"/>
              <w:rPr>
                <w:sz w:val="24"/>
                <w:rFonts w:ascii="Times New Roman" w:eastAsia="Times New Roman" w:hAnsi="Times New Roman" w:cs="Times New Roman"/>
              </w:rPr>
            </w:pPr>
            <w:r>
              <w:rPr>
                <w:i/>
                <w:sz w:val="24"/>
                <w:rFonts w:ascii="Times New Roman" w:hAnsi="Times New Roman"/>
              </w:rPr>
              <w:t xml:space="preserve">Fritekst — Angiv, hvis en del af udstedelsen er blevet omklassificeret i lavere kapitallag.</w:t>
            </w:r>
          </w:p>
        </w:tc>
      </w:tr>
      <w:tr w:rsidR="00C85971" w:rsidRPr="007F4CC8" w14:paraId="7273D82B" w14:textId="77777777" w:rsidTr="00D819DE">
        <w:trPr>
          <w:trHeight w:val="259"/>
        </w:trPr>
        <w:tc>
          <w:tcPr>
            <w:tcW w:w="1030" w:type="dxa"/>
            <w:vAlign w:val="center"/>
          </w:tcPr>
          <w:p w14:paraId="21134EEE"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5</w:t>
            </w:r>
          </w:p>
        </w:tc>
        <w:tc>
          <w:tcPr>
            <w:tcW w:w="7661" w:type="dxa"/>
            <w:shd w:val="clear" w:color="auto" w:fill="auto"/>
            <w:noWrap/>
            <w:vAlign w:val="bottom"/>
          </w:tcPr>
          <w:p w14:paraId="7CC7BD39"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Bestemmelser efter overgangsperioden i henhold til CRR</w:t>
            </w:r>
          </w:p>
          <w:p w14:paraId="15B33FD3"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Institutterne skal angive behandlingen af det lovpligtige kapitalgrundlag i henhold til CRR uden at tage højde for overgangsbehandlingen.</w:t>
            </w:r>
            <w:r>
              <w:rPr>
                <w:sz w:val="24"/>
                <w:rFonts w:ascii="Times New Roman" w:hAnsi="Times New Roman"/>
              </w:rPr>
              <w:t xml:space="preserve"> </w:t>
            </w:r>
          </w:p>
          <w:p w14:paraId="18A44EE8" w14:textId="77777777" w:rsidR="00C85971" w:rsidRPr="007F4CC8" w:rsidRDefault="00C85971" w:rsidP="00D819DE">
            <w:pPr>
              <w:spacing w:after="200"/>
              <w:jc w:val="both"/>
              <w:rPr>
                <w:sz w:val="24"/>
                <w:rFonts w:ascii="Times New Roman" w:eastAsia="Times New Roman" w:hAnsi="Times New Roman" w:cs="Times New Roman"/>
              </w:rPr>
            </w:pPr>
            <w:r>
              <w:rPr>
                <w:i/>
                <w:sz w:val="24"/>
                <w:rFonts w:ascii="Times New Roman" w:hAnsi="Times New Roman"/>
              </w:rPr>
              <w:t xml:space="preserve">Vælg i menu:</w:t>
            </w:r>
            <w:r>
              <w:rPr>
                <w:i/>
                <w:sz w:val="24"/>
                <w:rFonts w:ascii="Times New Roman" w:hAnsi="Times New Roman"/>
              </w:rPr>
              <w:t xml:space="preserve"> </w:t>
            </w:r>
            <w:r>
              <w:rPr>
                <w:i/>
                <w:sz w:val="24"/>
                <w:rFonts w:ascii="Times New Roman" w:hAnsi="Times New Roman"/>
              </w:rPr>
              <w:t xml:space="preserve">[Egentlig kernekapital] [Hybrid kernekapital] [Supplerende kapital] [Nedskrivningsrelevante passiver] [Ikkeanerkendt]</w:t>
            </w:r>
          </w:p>
        </w:tc>
      </w:tr>
      <w:tr w:rsidR="00C85971" w:rsidRPr="007F4CC8" w14:paraId="4C5A8DCE" w14:textId="77777777" w:rsidTr="00D819DE">
        <w:trPr>
          <w:trHeight w:val="259"/>
        </w:trPr>
        <w:tc>
          <w:tcPr>
            <w:tcW w:w="1030" w:type="dxa"/>
            <w:vAlign w:val="center"/>
          </w:tcPr>
          <w:p w14:paraId="6138EB2C"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6</w:t>
            </w:r>
          </w:p>
        </w:tc>
        <w:tc>
          <w:tcPr>
            <w:tcW w:w="7661" w:type="dxa"/>
            <w:shd w:val="clear" w:color="auto" w:fill="auto"/>
            <w:noWrap/>
            <w:vAlign w:val="bottom"/>
          </w:tcPr>
          <w:p w14:paraId="5FA2D312"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Anerkendte på individuelt/(del)konsolideret/ individuelt og (del)konsolideret niveau</w:t>
            </w:r>
          </w:p>
          <w:p w14:paraId="04883C73"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Institutterne skal angive det eller de niveauer i koncernen, på hvilke(t) instrumentet medtages i kapitalgrundlaget/de nedskrivningsrelevante passiver.</w:t>
            </w:r>
          </w:p>
          <w:p w14:paraId="7983B242" w14:textId="77777777" w:rsidR="00C85971" w:rsidRPr="007F4CC8" w:rsidRDefault="00C85971" w:rsidP="00D819DE">
            <w:pPr>
              <w:spacing w:after="200"/>
              <w:jc w:val="both"/>
              <w:rPr>
                <w:sz w:val="24"/>
                <w:rFonts w:ascii="Times New Roman" w:eastAsia="Times New Roman" w:hAnsi="Times New Roman" w:cs="Times New Roman"/>
              </w:rPr>
            </w:pPr>
            <w:r>
              <w:rPr>
                <w:i/>
                <w:sz w:val="24"/>
                <w:rFonts w:ascii="Times New Roman" w:hAnsi="Times New Roman"/>
              </w:rPr>
              <w:t xml:space="preserve">Vælg i menu:</w:t>
            </w:r>
            <w:r>
              <w:rPr>
                <w:i/>
                <w:sz w:val="24"/>
                <w:rFonts w:ascii="Times New Roman" w:hAnsi="Times New Roman"/>
              </w:rPr>
              <w:t xml:space="preserve"> </w:t>
            </w:r>
            <w:r>
              <w:rPr>
                <w:i/>
                <w:sz w:val="24"/>
                <w:rFonts w:ascii="Times New Roman" w:hAnsi="Times New Roman"/>
              </w:rPr>
              <w:t xml:space="preserve">[Individuelt] [(Del)konsolideret] [Individuelt og (del)konsolideret]</w:t>
            </w:r>
          </w:p>
        </w:tc>
      </w:tr>
      <w:tr w:rsidR="00C85971" w:rsidRPr="007F4CC8" w14:paraId="51C179AB" w14:textId="77777777" w:rsidTr="00D819DE">
        <w:trPr>
          <w:trHeight w:val="259"/>
        </w:trPr>
        <w:tc>
          <w:tcPr>
            <w:tcW w:w="1030" w:type="dxa"/>
            <w:vAlign w:val="center"/>
          </w:tcPr>
          <w:p w14:paraId="48FEED2E"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7</w:t>
            </w:r>
          </w:p>
        </w:tc>
        <w:tc>
          <w:tcPr>
            <w:tcW w:w="7661" w:type="dxa"/>
            <w:shd w:val="clear" w:color="auto" w:fill="auto"/>
            <w:noWrap/>
            <w:vAlign w:val="bottom"/>
          </w:tcPr>
          <w:p w14:paraId="76DDD347"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Instrumenttype (typer angives for hver jurisdiktion)</w:t>
            </w:r>
          </w:p>
          <w:p w14:paraId="36FF3544"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Institutterne skal angive instrumenttypen, alt efter hvad der er relevant for jurisdiktionen.</w:t>
            </w:r>
            <w:r>
              <w:rPr>
                <w:sz w:val="24"/>
                <w:rFonts w:ascii="Times New Roman" w:hAnsi="Times New Roman"/>
              </w:rPr>
              <w:t xml:space="preserve"> </w:t>
            </w:r>
          </w:p>
          <w:p w14:paraId="77AB4FE3"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Med hensyn til egentlige kernekapitalinstrumenter vælges navnet på instrumentet i den liste over egentlige kernekapitalposter, som offentliggøres af EBA i henhold til artikel 26, stk. 3, i CRR.</w:t>
            </w:r>
          </w:p>
          <w:p w14:paraId="02249DAC"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Med hensyn til andre instrumenter vælges der blandt:</w:t>
            </w:r>
            <w:r>
              <w:rPr>
                <w:i/>
                <w:sz w:val="24"/>
                <w:rFonts w:ascii="Times New Roman" w:hAnsi="Times New Roman"/>
              </w:rPr>
              <w:t xml:space="preserve"> </w:t>
            </w:r>
            <w:r>
              <w:rPr>
                <w:i/>
                <w:sz w:val="24"/>
                <w:rFonts w:ascii="Times New Roman" w:hAnsi="Times New Roman"/>
              </w:rPr>
              <w:t xml:space="preserve">Valgmuligheder meddeles institutterne af hver jurisdiktion – retshenvisninger til artikler i CRR indsættes for hver instrumenttype.</w:t>
            </w:r>
          </w:p>
        </w:tc>
      </w:tr>
      <w:tr w:rsidR="00C85971" w:rsidRPr="007F4CC8" w14:paraId="05E18079" w14:textId="77777777" w:rsidTr="00D819DE">
        <w:trPr>
          <w:trHeight w:val="259"/>
        </w:trPr>
        <w:tc>
          <w:tcPr>
            <w:tcW w:w="1030" w:type="dxa"/>
            <w:vAlign w:val="center"/>
          </w:tcPr>
          <w:p w14:paraId="06657915"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8</w:t>
            </w:r>
          </w:p>
        </w:tc>
        <w:tc>
          <w:tcPr>
            <w:tcW w:w="7661" w:type="dxa"/>
            <w:shd w:val="clear" w:color="auto" w:fill="auto"/>
            <w:noWrap/>
            <w:vAlign w:val="bottom"/>
          </w:tcPr>
          <w:p w14:paraId="7DE2CA94"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Beløb anerkendt i lovpligtig kapital eller nedskrivningsrelevante passiver (valuta i millioner pr. seneste indberetningsdato)</w:t>
            </w:r>
          </w:p>
          <w:p w14:paraId="00829990"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Institutterne skal angive det beløb, der anerkendes i lovpligtigt kapitalgrundlag eller nedskrivningsrelevante passiver.</w:t>
            </w:r>
          </w:p>
          <w:p w14:paraId="2D49DE4A"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Fritekst — Angiv navnlig, om visse dele af instrumentet er i forskellige lag af det lovpligtige kapitalgrundlag, og om det beløb, der anerkendes i det lovpligtige kapitalgrundlag, er forskelligt fra det udstedte beløb.</w:t>
            </w:r>
          </w:p>
        </w:tc>
      </w:tr>
      <w:tr w:rsidR="00C85971" w:rsidRPr="007F4CC8" w14:paraId="284CA942" w14:textId="77777777" w:rsidTr="00D819DE">
        <w:trPr>
          <w:trHeight w:val="259"/>
        </w:trPr>
        <w:tc>
          <w:tcPr>
            <w:tcW w:w="1030" w:type="dxa"/>
            <w:vAlign w:val="center"/>
          </w:tcPr>
          <w:p w14:paraId="370A5ACB"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9</w:t>
            </w:r>
          </w:p>
        </w:tc>
        <w:tc>
          <w:tcPr>
            <w:tcW w:w="7661" w:type="dxa"/>
            <w:shd w:val="clear" w:color="auto" w:fill="auto"/>
            <w:noWrap/>
            <w:vAlign w:val="bottom"/>
          </w:tcPr>
          <w:p w14:paraId="2349DBC0"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Nominel værdi af instrumentet</w:t>
            </w:r>
            <w:r>
              <w:rPr>
                <w:sz w:val="24"/>
                <w:rFonts w:ascii="Times New Roman" w:hAnsi="Times New Roman"/>
              </w:rPr>
              <w:t xml:space="preserve"> </w:t>
            </w:r>
          </w:p>
          <w:p w14:paraId="6380272B"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Nominelt beløb for instrument i udstedelsesvaluta og valuta anvendt i forbindelse med indberetningsforpligtelser.</w:t>
            </w:r>
          </w:p>
          <w:p w14:paraId="466B9555"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Fritekst</w:t>
            </w:r>
          </w:p>
        </w:tc>
      </w:tr>
      <w:tr w:rsidR="00C85971" w:rsidRPr="007F4CC8" w14:paraId="0544B969" w14:textId="77777777" w:rsidTr="00D819DE">
        <w:trPr>
          <w:trHeight w:val="259"/>
        </w:trPr>
        <w:tc>
          <w:tcPr>
            <w:tcW w:w="1030" w:type="dxa"/>
            <w:vAlign w:val="center"/>
          </w:tcPr>
          <w:p w14:paraId="2006187A"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EU-9a</w:t>
            </w:r>
          </w:p>
        </w:tc>
        <w:tc>
          <w:tcPr>
            <w:tcW w:w="7661" w:type="dxa"/>
            <w:shd w:val="clear" w:color="auto" w:fill="auto"/>
            <w:noWrap/>
            <w:vAlign w:val="bottom"/>
          </w:tcPr>
          <w:p w14:paraId="24E5CF72"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Emissionskurs</w:t>
            </w:r>
          </w:p>
          <w:p w14:paraId="1F541B10"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Emissionskurs for instrumentet.</w:t>
            </w:r>
          </w:p>
          <w:p w14:paraId="789EF5B3"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Fritekst</w:t>
            </w:r>
          </w:p>
        </w:tc>
      </w:tr>
      <w:tr w:rsidR="00C85971" w:rsidRPr="007F4CC8" w14:paraId="4CA90A7D" w14:textId="77777777" w:rsidTr="00D819DE">
        <w:trPr>
          <w:trHeight w:val="259"/>
        </w:trPr>
        <w:tc>
          <w:tcPr>
            <w:tcW w:w="1030" w:type="dxa"/>
            <w:vAlign w:val="center"/>
          </w:tcPr>
          <w:p w14:paraId="38899B7B"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EU-9b</w:t>
            </w:r>
          </w:p>
        </w:tc>
        <w:tc>
          <w:tcPr>
            <w:tcW w:w="7661" w:type="dxa"/>
            <w:shd w:val="clear" w:color="auto" w:fill="auto"/>
            <w:noWrap/>
            <w:vAlign w:val="bottom"/>
          </w:tcPr>
          <w:p w14:paraId="121E8937"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Indfrielseskurs</w:t>
            </w:r>
          </w:p>
          <w:p w14:paraId="3882BA0E"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Indfrielseskurs for instrumentet.</w:t>
            </w:r>
          </w:p>
          <w:p w14:paraId="0A2871F9"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Fritekst</w:t>
            </w:r>
          </w:p>
        </w:tc>
      </w:tr>
      <w:tr w:rsidR="00C85971" w:rsidRPr="007F4CC8" w14:paraId="5D67AC63" w14:textId="77777777" w:rsidTr="00D819DE">
        <w:trPr>
          <w:trHeight w:val="259"/>
        </w:trPr>
        <w:tc>
          <w:tcPr>
            <w:tcW w:w="1030" w:type="dxa"/>
            <w:vAlign w:val="center"/>
          </w:tcPr>
          <w:p w14:paraId="0C043D9F"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10</w:t>
            </w:r>
          </w:p>
        </w:tc>
        <w:tc>
          <w:tcPr>
            <w:tcW w:w="7661" w:type="dxa"/>
            <w:shd w:val="clear" w:color="auto" w:fill="auto"/>
            <w:noWrap/>
            <w:vAlign w:val="bottom"/>
          </w:tcPr>
          <w:p w14:paraId="19BCB8EF"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Regnskabsmæssig klassificering</w:t>
            </w:r>
          </w:p>
          <w:p w14:paraId="780F56D4"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Institutterne skal angive den regnskabsmæssige klassificering.</w:t>
            </w:r>
          </w:p>
          <w:p w14:paraId="7F82F115"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Vælg i menu:</w:t>
            </w:r>
            <w:r>
              <w:rPr>
                <w:i/>
                <w:sz w:val="24"/>
                <w:rFonts w:ascii="Times New Roman" w:hAnsi="Times New Roman"/>
              </w:rPr>
              <w:t xml:space="preserve"> </w:t>
            </w:r>
            <w:r>
              <w:rPr>
                <w:i/>
                <w:sz w:val="24"/>
                <w:rFonts w:ascii="Times New Roman" w:hAnsi="Times New Roman"/>
              </w:rPr>
              <w:t xml:space="preserve">[Aktiekapital] [Forpligtelse – amortiseret kostpris] [Forpligtelse – dagsværdimulighed] [Ikkekontrollerende interesse i konsolideret datterselskab]</w:t>
            </w:r>
          </w:p>
        </w:tc>
      </w:tr>
      <w:tr w:rsidR="00C85971" w:rsidRPr="007F4CC8" w14:paraId="53BD4D9C" w14:textId="77777777" w:rsidTr="00D819DE">
        <w:trPr>
          <w:trHeight w:val="259"/>
        </w:trPr>
        <w:tc>
          <w:tcPr>
            <w:tcW w:w="1030" w:type="dxa"/>
            <w:vAlign w:val="center"/>
          </w:tcPr>
          <w:p w14:paraId="6D4D323F"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11</w:t>
            </w:r>
          </w:p>
        </w:tc>
        <w:tc>
          <w:tcPr>
            <w:tcW w:w="7661" w:type="dxa"/>
            <w:shd w:val="clear" w:color="auto" w:fill="auto"/>
            <w:noWrap/>
            <w:vAlign w:val="bottom"/>
          </w:tcPr>
          <w:p w14:paraId="458D8463"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Oprindelig udstedelsesdato</w:t>
            </w:r>
          </w:p>
          <w:p w14:paraId="611C9A36"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Institutterne skal angive udstedelsesdatoen.</w:t>
            </w:r>
          </w:p>
          <w:p w14:paraId="2154F810" w14:textId="77777777" w:rsidR="00C85971" w:rsidRPr="007F4CC8" w:rsidRDefault="00C85971" w:rsidP="00D819DE">
            <w:pPr>
              <w:spacing w:after="200"/>
              <w:jc w:val="both"/>
              <w:rPr>
                <w:sz w:val="24"/>
                <w:rFonts w:ascii="Times New Roman" w:eastAsia="Times New Roman" w:hAnsi="Times New Roman" w:cs="Times New Roman"/>
              </w:rPr>
            </w:pPr>
            <w:r>
              <w:rPr>
                <w:i/>
                <w:sz w:val="24"/>
                <w:rFonts w:ascii="Times New Roman" w:hAnsi="Times New Roman"/>
              </w:rPr>
              <w:t xml:space="preserve">Fritekst</w:t>
            </w:r>
          </w:p>
        </w:tc>
      </w:tr>
      <w:tr w:rsidR="00C85971" w:rsidRPr="007F4CC8" w14:paraId="04FFB927" w14:textId="77777777" w:rsidTr="00D819DE">
        <w:trPr>
          <w:trHeight w:val="259"/>
        </w:trPr>
        <w:tc>
          <w:tcPr>
            <w:tcW w:w="1030" w:type="dxa"/>
            <w:vAlign w:val="center"/>
          </w:tcPr>
          <w:p w14:paraId="205744AC"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12</w:t>
            </w:r>
          </w:p>
        </w:tc>
        <w:tc>
          <w:tcPr>
            <w:tcW w:w="7661" w:type="dxa"/>
            <w:shd w:val="clear" w:color="auto" w:fill="auto"/>
            <w:noWrap/>
            <w:vAlign w:val="bottom"/>
          </w:tcPr>
          <w:p w14:paraId="4EF23CA5"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Uamortisabelt eller dateret</w:t>
            </w:r>
            <w:r>
              <w:rPr>
                <w:sz w:val="24"/>
                <w:rFonts w:ascii="Times New Roman" w:hAnsi="Times New Roman"/>
              </w:rPr>
              <w:t xml:space="preserve"> </w:t>
            </w:r>
          </w:p>
          <w:p w14:paraId="3E0D6EB1"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Institutterne skal angive, om et instrument er dateret eller uamortisabelt.</w:t>
            </w:r>
          </w:p>
          <w:p w14:paraId="245C5398"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Vælg i menu:</w:t>
            </w:r>
            <w:r>
              <w:rPr>
                <w:i/>
                <w:sz w:val="24"/>
                <w:rFonts w:ascii="Times New Roman" w:hAnsi="Times New Roman"/>
              </w:rPr>
              <w:t xml:space="preserve"> </w:t>
            </w:r>
            <w:r>
              <w:rPr>
                <w:i/>
                <w:sz w:val="24"/>
                <w:rFonts w:ascii="Times New Roman" w:hAnsi="Times New Roman"/>
              </w:rPr>
              <w:t xml:space="preserve">[Uamortisabelt] [Dateret]</w:t>
            </w:r>
          </w:p>
        </w:tc>
      </w:tr>
      <w:tr w:rsidR="00C85971" w:rsidRPr="007F4CC8" w14:paraId="56CA0C61" w14:textId="77777777" w:rsidTr="00D819DE">
        <w:trPr>
          <w:trHeight w:val="259"/>
        </w:trPr>
        <w:tc>
          <w:tcPr>
            <w:tcW w:w="1030" w:type="dxa"/>
            <w:vAlign w:val="center"/>
          </w:tcPr>
          <w:p w14:paraId="616EB2DB"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13</w:t>
            </w:r>
          </w:p>
        </w:tc>
        <w:tc>
          <w:tcPr>
            <w:tcW w:w="7661" w:type="dxa"/>
            <w:shd w:val="clear" w:color="auto" w:fill="auto"/>
            <w:noWrap/>
            <w:vAlign w:val="bottom"/>
          </w:tcPr>
          <w:p w14:paraId="6ED06368"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Oprindelig forfaldsdato</w:t>
            </w:r>
          </w:p>
          <w:p w14:paraId="4B82838B"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For daterede instrumenter skal institutterne angive den oprindelige forfaldsdato (dag, måned og år).</w:t>
            </w:r>
            <w:r>
              <w:rPr>
                <w:sz w:val="24"/>
                <w:rFonts w:ascii="Times New Roman" w:hAnsi="Times New Roman"/>
              </w:rPr>
              <w:t xml:space="preserve"> </w:t>
            </w:r>
            <w:r>
              <w:rPr>
                <w:sz w:val="24"/>
                <w:rFonts w:ascii="Times New Roman" w:hAnsi="Times New Roman"/>
              </w:rPr>
              <w:t xml:space="preserve">For uamortisable instrumenter anføres "ingen forfaldsdato".</w:t>
            </w:r>
            <w:r>
              <w:rPr>
                <w:sz w:val="24"/>
                <w:rFonts w:ascii="Times New Roman" w:hAnsi="Times New Roman"/>
              </w:rPr>
              <w:t xml:space="preserve"> </w:t>
            </w:r>
          </w:p>
          <w:p w14:paraId="68FD4196" w14:textId="77777777" w:rsidR="00C85971" w:rsidRPr="007F4CC8" w:rsidRDefault="00C85971" w:rsidP="00D819DE">
            <w:pPr>
              <w:spacing w:after="200"/>
              <w:jc w:val="both"/>
              <w:rPr>
                <w:sz w:val="24"/>
                <w:rFonts w:ascii="Times New Roman" w:eastAsia="Times New Roman" w:hAnsi="Times New Roman" w:cs="Times New Roman"/>
              </w:rPr>
            </w:pPr>
            <w:r>
              <w:rPr>
                <w:i/>
                <w:sz w:val="24"/>
                <w:rFonts w:ascii="Times New Roman" w:hAnsi="Times New Roman"/>
              </w:rPr>
              <w:t xml:space="preserve">Fritekst</w:t>
            </w:r>
          </w:p>
        </w:tc>
      </w:tr>
      <w:tr w:rsidR="00C85971" w:rsidRPr="007F4CC8" w14:paraId="388525EC" w14:textId="77777777" w:rsidTr="00D819DE">
        <w:trPr>
          <w:trHeight w:val="259"/>
        </w:trPr>
        <w:tc>
          <w:tcPr>
            <w:tcW w:w="1030" w:type="dxa"/>
            <w:vAlign w:val="center"/>
          </w:tcPr>
          <w:p w14:paraId="2049CCDE"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14</w:t>
            </w:r>
          </w:p>
        </w:tc>
        <w:tc>
          <w:tcPr>
            <w:tcW w:w="7661" w:type="dxa"/>
            <w:shd w:val="clear" w:color="auto" w:fill="auto"/>
            <w:noWrap/>
            <w:vAlign w:val="bottom"/>
          </w:tcPr>
          <w:p w14:paraId="4A451C24"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Udsteder-call med forbehold af forudgående myndighedsgodkendelse</w:t>
            </w:r>
            <w:r>
              <w:rPr>
                <w:sz w:val="24"/>
                <w:rFonts w:ascii="Times New Roman" w:hAnsi="Times New Roman"/>
              </w:rPr>
              <w:t xml:space="preserve"> </w:t>
            </w:r>
          </w:p>
          <w:p w14:paraId="58557375"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Institutterne skal angive, om der findes en call option for udsteder (alle typer call options).</w:t>
            </w:r>
          </w:p>
          <w:p w14:paraId="613B3C4C"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Vælg i menu:</w:t>
            </w:r>
            <w:r>
              <w:rPr>
                <w:i/>
                <w:sz w:val="24"/>
                <w:rFonts w:ascii="Times New Roman" w:hAnsi="Times New Roman"/>
              </w:rPr>
              <w:t xml:space="preserve"> </w:t>
            </w:r>
            <w:r>
              <w:rPr>
                <w:i/>
                <w:sz w:val="24"/>
                <w:rFonts w:ascii="Times New Roman" w:hAnsi="Times New Roman"/>
              </w:rPr>
              <w:t xml:space="preserve">[Ja] [Nej]</w:t>
            </w:r>
          </w:p>
        </w:tc>
      </w:tr>
      <w:tr w:rsidR="00C85971" w:rsidRPr="007F4CC8" w14:paraId="7A6B78FD" w14:textId="77777777" w:rsidTr="00D819DE">
        <w:trPr>
          <w:trHeight w:val="259"/>
        </w:trPr>
        <w:tc>
          <w:tcPr>
            <w:tcW w:w="1030" w:type="dxa"/>
            <w:vAlign w:val="center"/>
          </w:tcPr>
          <w:p w14:paraId="670CA14E"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15</w:t>
            </w:r>
          </w:p>
        </w:tc>
        <w:tc>
          <w:tcPr>
            <w:tcW w:w="7661" w:type="dxa"/>
            <w:shd w:val="clear" w:color="auto" w:fill="auto"/>
            <w:noWrap/>
            <w:vAlign w:val="bottom"/>
          </w:tcPr>
          <w:p w14:paraId="6A950D9E"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Dato for call option, datoer for eventuelle calls og indfrielsesbeløb</w:t>
            </w:r>
          </w:p>
          <w:p w14:paraId="73384FE5"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For instrumenter med call option for udsteder skal institutterne angive den første dato for call, hvis instrumentet har en call option på en bestemt dato (dag, måned og år), og angive, om instrumentet har et call for skat og/eller lovpligtig hændelse.</w:t>
            </w:r>
            <w:r>
              <w:rPr>
                <w:sz w:val="24"/>
                <w:rFonts w:ascii="Times New Roman" w:hAnsi="Times New Roman"/>
              </w:rPr>
              <w:t xml:space="preserve"> </w:t>
            </w:r>
            <w:r>
              <w:rPr>
                <w:sz w:val="24"/>
                <w:rFonts w:ascii="Times New Roman" w:hAnsi="Times New Roman"/>
              </w:rPr>
              <w:t xml:space="preserve">Institutterne skal også angive indfrielseskursen, hvilket hjælper med at vurdere varigheden.</w:t>
            </w:r>
          </w:p>
          <w:p w14:paraId="525DFACD"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Fritekst</w:t>
            </w:r>
          </w:p>
        </w:tc>
      </w:tr>
      <w:tr w:rsidR="00C85971" w:rsidRPr="007F4CC8" w14:paraId="23AB55A7" w14:textId="77777777" w:rsidTr="00D819DE">
        <w:trPr>
          <w:trHeight w:val="259"/>
        </w:trPr>
        <w:tc>
          <w:tcPr>
            <w:tcW w:w="1030" w:type="dxa"/>
            <w:vAlign w:val="center"/>
          </w:tcPr>
          <w:p w14:paraId="080D7F0B"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16</w:t>
            </w:r>
          </w:p>
        </w:tc>
        <w:tc>
          <w:tcPr>
            <w:tcW w:w="7661" w:type="dxa"/>
            <w:shd w:val="clear" w:color="auto" w:fill="auto"/>
            <w:noWrap/>
            <w:vAlign w:val="bottom"/>
          </w:tcPr>
          <w:p w14:paraId="08CF89AA"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Datoer for eventuelle efterfølgende calls</w:t>
            </w:r>
          </w:p>
          <w:p w14:paraId="1CE0E8DF"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Institutterne skal angive, om der findes datoer for efterfølgende calls, og i givet fald hvor hyppigt de forekommer, hvilket hjælper med at vurdere varigheden.</w:t>
            </w:r>
          </w:p>
          <w:p w14:paraId="7B5269A2" w14:textId="77777777" w:rsidR="00C85971" w:rsidRPr="007F4CC8" w:rsidRDefault="00C85971" w:rsidP="00D819DE">
            <w:pPr>
              <w:spacing w:after="200"/>
              <w:jc w:val="both"/>
              <w:rPr>
                <w:sz w:val="24"/>
                <w:rFonts w:ascii="Times New Roman" w:eastAsia="Times New Roman" w:hAnsi="Times New Roman" w:cs="Times New Roman"/>
              </w:rPr>
            </w:pPr>
            <w:r>
              <w:rPr>
                <w:i/>
                <w:sz w:val="24"/>
                <w:rFonts w:ascii="Times New Roman" w:hAnsi="Times New Roman"/>
              </w:rPr>
              <w:t xml:space="preserve">Fritekst</w:t>
            </w:r>
          </w:p>
        </w:tc>
      </w:tr>
      <w:tr w:rsidR="00C85971" w:rsidRPr="007F4CC8" w14:paraId="130CD498" w14:textId="77777777" w:rsidTr="00D819DE">
        <w:trPr>
          <w:trHeight w:val="259"/>
        </w:trPr>
        <w:tc>
          <w:tcPr>
            <w:tcW w:w="1030" w:type="dxa"/>
            <w:vAlign w:val="center"/>
          </w:tcPr>
          <w:p w14:paraId="7F01AD6C"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17</w:t>
            </w:r>
          </w:p>
        </w:tc>
        <w:tc>
          <w:tcPr>
            <w:tcW w:w="7661" w:type="dxa"/>
            <w:shd w:val="clear" w:color="auto" w:fill="auto"/>
            <w:noWrap/>
            <w:vAlign w:val="bottom"/>
          </w:tcPr>
          <w:p w14:paraId="7E670C8E"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Fast eller variabelt udbytte/fast eller variabel kuponrente</w:t>
            </w:r>
          </w:p>
          <w:p w14:paraId="52599B65"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Institutterne skal angive, om kuponrenten/udbyttet er fast i instrumentets løbetid, er variabel i instrumentets løbetid, aktuelt er fast, men vil ændres til en variabel sats i fremtiden, eller aktuelt er variabel, men vil ændres til en fast sats i fremtiden.</w:t>
            </w:r>
            <w:r>
              <w:rPr>
                <w:sz w:val="24"/>
                <w:rFonts w:ascii="Times New Roman" w:hAnsi="Times New Roman"/>
              </w:rPr>
              <w:t xml:space="preserve"> </w:t>
            </w:r>
          </w:p>
          <w:p w14:paraId="52AB5C9D"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Vælg i menu:</w:t>
            </w:r>
            <w:r>
              <w:rPr>
                <w:i/>
                <w:sz w:val="24"/>
                <w:rFonts w:ascii="Times New Roman" w:hAnsi="Times New Roman"/>
              </w:rPr>
              <w:t xml:space="preserve"> </w:t>
            </w:r>
            <w:r>
              <w:rPr>
                <w:i/>
                <w:sz w:val="24"/>
                <w:rFonts w:ascii="Times New Roman" w:hAnsi="Times New Roman"/>
              </w:rPr>
              <w:t xml:space="preserve">[Fast], [Variabel] [Fast til variabel], [Variabel til fast]</w:t>
            </w:r>
            <w:r>
              <w:rPr>
                <w:i/>
                <w:sz w:val="24"/>
                <w:rFonts w:ascii="Times New Roman" w:hAnsi="Times New Roman"/>
              </w:rPr>
              <w:t xml:space="preserve"> </w:t>
            </w:r>
          </w:p>
        </w:tc>
      </w:tr>
      <w:tr w:rsidR="00C85971" w:rsidRPr="007F4CC8" w14:paraId="280F0BBF" w14:textId="77777777" w:rsidTr="00D819DE">
        <w:trPr>
          <w:trHeight w:val="259"/>
        </w:trPr>
        <w:tc>
          <w:tcPr>
            <w:tcW w:w="1030" w:type="dxa"/>
            <w:vAlign w:val="center"/>
          </w:tcPr>
          <w:p w14:paraId="6E4491B9"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18</w:t>
            </w:r>
          </w:p>
        </w:tc>
        <w:tc>
          <w:tcPr>
            <w:tcW w:w="7661" w:type="dxa"/>
            <w:shd w:val="clear" w:color="auto" w:fill="auto"/>
            <w:noWrap/>
            <w:vAlign w:val="bottom"/>
          </w:tcPr>
          <w:p w14:paraId="5797637C"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Kuponrente og tilknyttet indeks</w:t>
            </w:r>
            <w:r>
              <w:rPr>
                <w:sz w:val="24"/>
                <w:rFonts w:ascii="Times New Roman" w:hAnsi="Times New Roman"/>
              </w:rPr>
              <w:t xml:space="preserve"> </w:t>
            </w:r>
          </w:p>
          <w:p w14:paraId="65D080DC"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Institutterne skal angive kuponrenten for instrumentet og et evt. tilknyttet indeks, som kuponrenten/udbytteprocenten benytter som referencer.</w:t>
            </w:r>
            <w:r>
              <w:rPr>
                <w:sz w:val="24"/>
                <w:rFonts w:ascii="Times New Roman" w:hAnsi="Times New Roman"/>
              </w:rPr>
              <w:t xml:space="preserve"> </w:t>
            </w:r>
          </w:p>
          <w:p w14:paraId="0AEC5895"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Fritekst</w:t>
            </w:r>
            <w:r>
              <w:rPr>
                <w:i/>
                <w:sz w:val="24"/>
                <w:rFonts w:ascii="Times New Roman" w:hAnsi="Times New Roman"/>
              </w:rPr>
              <w:t xml:space="preserve"> </w:t>
            </w:r>
          </w:p>
        </w:tc>
      </w:tr>
      <w:tr w:rsidR="00C85971" w:rsidRPr="007F4CC8" w14:paraId="5E04C258" w14:textId="77777777" w:rsidTr="00D819DE">
        <w:trPr>
          <w:trHeight w:val="259"/>
        </w:trPr>
        <w:tc>
          <w:tcPr>
            <w:tcW w:w="1030" w:type="dxa"/>
            <w:vAlign w:val="center"/>
          </w:tcPr>
          <w:p w14:paraId="64425A07"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19</w:t>
            </w:r>
          </w:p>
        </w:tc>
        <w:tc>
          <w:tcPr>
            <w:tcW w:w="7661" w:type="dxa"/>
            <w:shd w:val="clear" w:color="auto" w:fill="auto"/>
            <w:noWrap/>
            <w:vAlign w:val="bottom"/>
          </w:tcPr>
          <w:p w14:paraId="6084AEDC"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Tilstedeværelse af "dividend stopper"</w:t>
            </w:r>
            <w:r>
              <w:rPr>
                <w:sz w:val="24"/>
                <w:rFonts w:ascii="Times New Roman" w:hAnsi="Times New Roman"/>
              </w:rPr>
              <w:t xml:space="preserve"> </w:t>
            </w:r>
          </w:p>
          <w:p w14:paraId="5D351279"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Institutterne skal angive, om manglende betaling af kuponrente eller udbytte af instrumentet forhindrer udbetaling af udbytte af ordinære aktier (dvs. om der er en "dividend stopper").</w:t>
            </w:r>
            <w:r>
              <w:rPr>
                <w:sz w:val="24"/>
                <w:rFonts w:ascii="Times New Roman" w:hAnsi="Times New Roman"/>
              </w:rPr>
              <w:t xml:space="preserve"> </w:t>
            </w:r>
          </w:p>
          <w:p w14:paraId="5812A304"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Vælg i menu:</w:t>
            </w:r>
            <w:r>
              <w:rPr>
                <w:i/>
                <w:sz w:val="24"/>
                <w:rFonts w:ascii="Times New Roman" w:hAnsi="Times New Roman"/>
              </w:rPr>
              <w:t xml:space="preserve"> </w:t>
            </w:r>
            <w:r>
              <w:rPr>
                <w:i/>
                <w:sz w:val="24"/>
                <w:rFonts w:ascii="Times New Roman" w:hAnsi="Times New Roman"/>
              </w:rPr>
              <w:t xml:space="preserve">[ja], [nej]</w:t>
            </w:r>
            <w:r>
              <w:rPr>
                <w:i/>
                <w:sz w:val="24"/>
                <w:rFonts w:ascii="Times New Roman" w:hAnsi="Times New Roman"/>
              </w:rPr>
              <w:t xml:space="preserve"> </w:t>
            </w:r>
          </w:p>
        </w:tc>
      </w:tr>
      <w:tr w:rsidR="00C85971" w:rsidRPr="007F4CC8" w14:paraId="3D392B8E" w14:textId="77777777" w:rsidTr="00D819DE">
        <w:trPr>
          <w:trHeight w:val="259"/>
        </w:trPr>
        <w:tc>
          <w:tcPr>
            <w:tcW w:w="1030" w:type="dxa"/>
            <w:vAlign w:val="center"/>
          </w:tcPr>
          <w:p w14:paraId="77A08767"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EU-20a</w:t>
            </w:r>
          </w:p>
        </w:tc>
        <w:tc>
          <w:tcPr>
            <w:tcW w:w="7661" w:type="dxa"/>
            <w:shd w:val="clear" w:color="auto" w:fill="auto"/>
            <w:noWrap/>
            <w:vAlign w:val="bottom"/>
          </w:tcPr>
          <w:p w14:paraId="647767A9"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Frit valg, delvist frit valg eller obligatorisk (med hensyn til tidspunkt)</w:t>
            </w:r>
            <w:r>
              <w:rPr>
                <w:sz w:val="24"/>
                <w:rFonts w:ascii="Times New Roman" w:hAnsi="Times New Roman"/>
              </w:rPr>
              <w:t xml:space="preserve"> </w:t>
            </w:r>
          </w:p>
          <w:p w14:paraId="53D0B84D"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Institutterne skal angive, om udstederen har frit valg, delvist frit valg eller intet valg med hensyn til udbetalingen af kuponrente/udbytte.</w:t>
            </w:r>
            <w:r>
              <w:rPr>
                <w:sz w:val="24"/>
                <w:rFonts w:ascii="Times New Roman" w:hAnsi="Times New Roman"/>
              </w:rPr>
              <w:t xml:space="preserve"> </w:t>
            </w:r>
            <w:r>
              <w:rPr>
                <w:sz w:val="24"/>
                <w:rFonts w:ascii="Times New Roman" w:hAnsi="Times New Roman"/>
              </w:rPr>
              <w:t xml:space="preserve">Hvis instituttet frit kan vælge at annullere udbetalingen af kuponrente/udbytte i alle situationer, skal det vælge "frit valg" (også når der er tale om en dividend stopper, som ikke forhindrer instituttet i at annullere udbetalinger i forbindelse med instrumentet).</w:t>
            </w:r>
            <w:r>
              <w:rPr>
                <w:sz w:val="24"/>
                <w:rFonts w:ascii="Times New Roman" w:hAnsi="Times New Roman"/>
              </w:rPr>
              <w:t xml:space="preserve"> </w:t>
            </w:r>
            <w:r>
              <w:rPr>
                <w:sz w:val="24"/>
                <w:rFonts w:ascii="Times New Roman" w:hAnsi="Times New Roman"/>
              </w:rPr>
              <w:t xml:space="preserve">Hvis betingelser skal opfyldes, inden udbetaling kan annulleres (f.eks. kapitalgrundlag under en vis tærskel), skal instituttet vælge "delvist frit valg".</w:t>
            </w:r>
            <w:r>
              <w:rPr>
                <w:sz w:val="24"/>
                <w:rFonts w:ascii="Times New Roman" w:hAnsi="Times New Roman"/>
              </w:rPr>
              <w:t xml:space="preserve"> </w:t>
            </w:r>
            <w:r>
              <w:rPr>
                <w:sz w:val="24"/>
                <w:rFonts w:ascii="Times New Roman" w:hAnsi="Times New Roman"/>
              </w:rPr>
              <w:t xml:space="preserve">Hvis instituttet ikke kan annullere udbetalingen, medmindre der er tale om insolvens, skal instituttet vælge "obligatorisk".</w:t>
            </w:r>
          </w:p>
          <w:p w14:paraId="093B501F"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Vælg i menu:</w:t>
            </w:r>
            <w:r>
              <w:rPr>
                <w:i/>
                <w:sz w:val="24"/>
                <w:rFonts w:ascii="Times New Roman" w:hAnsi="Times New Roman"/>
              </w:rPr>
              <w:t xml:space="preserve"> </w:t>
            </w:r>
            <w:r>
              <w:rPr>
                <w:i/>
                <w:sz w:val="24"/>
                <w:rFonts w:ascii="Times New Roman" w:hAnsi="Times New Roman"/>
              </w:rPr>
              <w:t xml:space="preserve">[Frit valg] [Delvist frit valg] [Obligatorisk]</w:t>
            </w:r>
          </w:p>
          <w:p w14:paraId="437D6930" w14:textId="77777777" w:rsidR="00C85971" w:rsidRPr="007F4CC8" w:rsidRDefault="00C85971" w:rsidP="00D819DE">
            <w:pPr>
              <w:spacing w:after="200"/>
              <w:jc w:val="both"/>
              <w:rPr>
                <w:sz w:val="24"/>
                <w:rFonts w:ascii="Times New Roman" w:eastAsia="Times New Roman" w:hAnsi="Times New Roman" w:cs="Times New Roman"/>
              </w:rPr>
            </w:pPr>
            <w:r>
              <w:rPr>
                <w:i/>
                <w:sz w:val="24"/>
                <w:rFonts w:ascii="Times New Roman" w:hAnsi="Times New Roman"/>
              </w:rPr>
              <w:t xml:space="preserve">Fri tekst (angiv årsagerne til frit valg, tilstedeværelsen af "dividend pushers", "dividend stoppers" og ACSM).</w:t>
            </w:r>
          </w:p>
        </w:tc>
      </w:tr>
      <w:tr w:rsidR="00C85971" w:rsidRPr="007F4CC8" w14:paraId="10D953A2" w14:textId="77777777" w:rsidTr="00D819DE">
        <w:trPr>
          <w:trHeight w:val="259"/>
        </w:trPr>
        <w:tc>
          <w:tcPr>
            <w:tcW w:w="1030" w:type="dxa"/>
            <w:vAlign w:val="center"/>
          </w:tcPr>
          <w:p w14:paraId="5548CD9D"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EU-20b</w:t>
            </w:r>
          </w:p>
        </w:tc>
        <w:tc>
          <w:tcPr>
            <w:tcW w:w="7661" w:type="dxa"/>
            <w:shd w:val="clear" w:color="auto" w:fill="auto"/>
            <w:noWrap/>
            <w:vAlign w:val="bottom"/>
          </w:tcPr>
          <w:p w14:paraId="6504D082"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Frit valg, delvist frit valg eller obligatorisk (med hensyn til beløb)</w:t>
            </w:r>
            <w:r>
              <w:rPr>
                <w:sz w:val="24"/>
                <w:rFonts w:ascii="Times New Roman" w:hAnsi="Times New Roman"/>
              </w:rPr>
              <w:t xml:space="preserve"> </w:t>
            </w:r>
          </w:p>
          <w:p w14:paraId="04BFE837"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Institutterne skal angive, om udstederen har frit valg, delvist frit valg eller intet valg med hensyn til beløbet for kuponrente/udbytte.</w:t>
            </w:r>
          </w:p>
          <w:p w14:paraId="513C496A"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Vælg i menu:</w:t>
            </w:r>
            <w:r>
              <w:rPr>
                <w:i/>
                <w:sz w:val="24"/>
                <w:rFonts w:ascii="Times New Roman" w:hAnsi="Times New Roman"/>
              </w:rPr>
              <w:t xml:space="preserve"> </w:t>
            </w:r>
            <w:r>
              <w:rPr>
                <w:i/>
                <w:sz w:val="24"/>
                <w:rFonts w:ascii="Times New Roman" w:hAnsi="Times New Roman"/>
              </w:rPr>
              <w:t xml:space="preserve">[Frit valg] [Delvist frit valg] [Obligatorisk]</w:t>
            </w:r>
          </w:p>
        </w:tc>
      </w:tr>
      <w:tr w:rsidR="00C85971" w:rsidRPr="007F4CC8" w14:paraId="75B6FF75" w14:textId="77777777" w:rsidTr="00D819DE">
        <w:trPr>
          <w:trHeight w:val="259"/>
        </w:trPr>
        <w:tc>
          <w:tcPr>
            <w:tcW w:w="1030" w:type="dxa"/>
            <w:vAlign w:val="center"/>
          </w:tcPr>
          <w:p w14:paraId="7C6A2572"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21</w:t>
            </w:r>
          </w:p>
        </w:tc>
        <w:tc>
          <w:tcPr>
            <w:tcW w:w="7661" w:type="dxa"/>
            <w:shd w:val="clear" w:color="auto" w:fill="auto"/>
            <w:noWrap/>
            <w:vAlign w:val="bottom"/>
          </w:tcPr>
          <w:p w14:paraId="0F2B7E14"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Tilstedeværelse af step-up eller andet incitament til indfrielse</w:t>
            </w:r>
          </w:p>
          <w:p w14:paraId="12907BE4"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Institutterne skal angive, om der findes step-up eller andet incitament til indfrielse.</w:t>
            </w:r>
          </w:p>
          <w:p w14:paraId="4BED9D43"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Vælg i menu:</w:t>
            </w:r>
            <w:r>
              <w:rPr>
                <w:i/>
                <w:sz w:val="24"/>
                <w:rFonts w:ascii="Times New Roman" w:hAnsi="Times New Roman"/>
              </w:rPr>
              <w:t xml:space="preserve"> </w:t>
            </w:r>
            <w:r>
              <w:rPr>
                <w:i/>
                <w:sz w:val="24"/>
                <w:rFonts w:ascii="Times New Roman" w:hAnsi="Times New Roman"/>
              </w:rPr>
              <w:t xml:space="preserve">[Ja] [Nej]</w:t>
            </w:r>
          </w:p>
        </w:tc>
      </w:tr>
      <w:tr w:rsidR="00C85971" w:rsidRPr="007F4CC8" w14:paraId="1937B62C" w14:textId="77777777" w:rsidTr="00D819DE">
        <w:trPr>
          <w:trHeight w:val="259"/>
        </w:trPr>
        <w:tc>
          <w:tcPr>
            <w:tcW w:w="1030" w:type="dxa"/>
            <w:vAlign w:val="center"/>
          </w:tcPr>
          <w:p w14:paraId="08732FD5"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22</w:t>
            </w:r>
          </w:p>
        </w:tc>
        <w:tc>
          <w:tcPr>
            <w:tcW w:w="7661" w:type="dxa"/>
            <w:shd w:val="clear" w:color="auto" w:fill="auto"/>
            <w:noWrap/>
            <w:vAlign w:val="bottom"/>
          </w:tcPr>
          <w:p w14:paraId="45FEA976"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Ikkekumulativt eller kumulativ</w:t>
            </w:r>
          </w:p>
          <w:p w14:paraId="55B7FEB7"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Institutterne skal angive, om udbytte/kuponrente er kumulativ eller ikkekumulativ.</w:t>
            </w:r>
          </w:p>
          <w:p w14:paraId="0EB38D12"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Vælg i menu:</w:t>
            </w:r>
            <w:r>
              <w:rPr>
                <w:i/>
                <w:sz w:val="24"/>
                <w:rFonts w:ascii="Times New Roman" w:hAnsi="Times New Roman"/>
              </w:rPr>
              <w:t xml:space="preserve"> </w:t>
            </w:r>
            <w:r>
              <w:rPr>
                <w:i/>
                <w:sz w:val="24"/>
                <w:rFonts w:ascii="Times New Roman" w:hAnsi="Times New Roman"/>
              </w:rPr>
              <w:t xml:space="preserve">[Ikkekumulativ] [Kumulativ] [ACSM]</w:t>
            </w:r>
          </w:p>
        </w:tc>
      </w:tr>
      <w:tr w:rsidR="00C85971" w:rsidRPr="007F4CC8" w14:paraId="0AC7DDCD" w14:textId="77777777" w:rsidTr="00D819DE">
        <w:trPr>
          <w:trHeight w:val="259"/>
        </w:trPr>
        <w:tc>
          <w:tcPr>
            <w:tcW w:w="1030" w:type="dxa"/>
            <w:vAlign w:val="center"/>
          </w:tcPr>
          <w:p w14:paraId="0954662B"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23</w:t>
            </w:r>
          </w:p>
        </w:tc>
        <w:tc>
          <w:tcPr>
            <w:tcW w:w="7661" w:type="dxa"/>
            <w:shd w:val="clear" w:color="auto" w:fill="auto"/>
            <w:noWrap/>
            <w:vAlign w:val="bottom"/>
          </w:tcPr>
          <w:p w14:paraId="05E02B3C"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Konvertibelt eller ikkekonvertibelt</w:t>
            </w:r>
          </w:p>
          <w:p w14:paraId="03E74556"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Institutterne skal angive, om instrumentet er konvertibelt eller ej.</w:t>
            </w:r>
          </w:p>
          <w:p w14:paraId="5A5BB1FB"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Vælg i menu:</w:t>
            </w:r>
            <w:r>
              <w:rPr>
                <w:i/>
                <w:sz w:val="24"/>
                <w:rFonts w:ascii="Times New Roman" w:hAnsi="Times New Roman"/>
              </w:rPr>
              <w:t xml:space="preserve"> </w:t>
            </w:r>
            <w:r>
              <w:rPr>
                <w:i/>
                <w:sz w:val="24"/>
                <w:rFonts w:ascii="Times New Roman" w:hAnsi="Times New Roman"/>
              </w:rPr>
              <w:t xml:space="preserve">[Konvertibelt] [Ikkekonvertibelt]</w:t>
            </w:r>
          </w:p>
        </w:tc>
      </w:tr>
      <w:tr w:rsidR="00C85971" w:rsidRPr="007F4CC8" w14:paraId="17BEBE61" w14:textId="77777777" w:rsidTr="00D819DE">
        <w:trPr>
          <w:trHeight w:val="259"/>
        </w:trPr>
        <w:tc>
          <w:tcPr>
            <w:tcW w:w="1030" w:type="dxa"/>
            <w:vAlign w:val="center"/>
          </w:tcPr>
          <w:p w14:paraId="3094BF5D"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24</w:t>
            </w:r>
          </w:p>
        </w:tc>
        <w:tc>
          <w:tcPr>
            <w:tcW w:w="7661" w:type="dxa"/>
            <w:shd w:val="clear" w:color="auto" w:fill="auto"/>
            <w:noWrap/>
            <w:vAlign w:val="bottom"/>
          </w:tcPr>
          <w:p w14:paraId="557E2DF9"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Hvis konvertibelt: konverteringsudløser(e)</w:t>
            </w:r>
          </w:p>
          <w:p w14:paraId="64B68578"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Institutterne skal angive de betingelser, hvorunder instrumentet kan konverteres, herunder tidspunkt, hvor instituttet ikke længere er levedygtigt.</w:t>
            </w:r>
            <w:r>
              <w:rPr>
                <w:sz w:val="24"/>
                <w:rFonts w:ascii="Times New Roman" w:hAnsi="Times New Roman"/>
              </w:rPr>
              <w:t xml:space="preserve"> </w:t>
            </w:r>
            <w:r>
              <w:rPr>
                <w:sz w:val="24"/>
                <w:rFonts w:ascii="Times New Roman" w:hAnsi="Times New Roman"/>
              </w:rPr>
              <w:t xml:space="preserve">Hvis en eller flere myndigheder kan udløse konvertering, skal disse myndigheder anføres.</w:t>
            </w:r>
            <w:r>
              <w:rPr>
                <w:sz w:val="24"/>
                <w:rFonts w:ascii="Times New Roman" w:hAnsi="Times New Roman"/>
              </w:rPr>
              <w:t xml:space="preserve"> </w:t>
            </w:r>
            <w:r>
              <w:rPr>
                <w:sz w:val="24"/>
                <w:rFonts w:ascii="Times New Roman" w:hAnsi="Times New Roman"/>
              </w:rPr>
              <w:t xml:space="preserve">For hver myndighed angives det, om retsgrundlaget for at udløse en konvertering følger af vilkårene i instrumentkontrakten (kontraktbestemt metode), eller om retsgrundlaget følger af lovgivningen (lovpligtig metode).</w:t>
            </w:r>
          </w:p>
          <w:p w14:paraId="492B2888"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Fritekst</w:t>
            </w:r>
          </w:p>
        </w:tc>
      </w:tr>
      <w:tr w:rsidR="00C85971" w:rsidRPr="007F4CC8" w14:paraId="4233FD69" w14:textId="77777777" w:rsidTr="00D819DE">
        <w:trPr>
          <w:trHeight w:val="259"/>
        </w:trPr>
        <w:tc>
          <w:tcPr>
            <w:tcW w:w="1030" w:type="dxa"/>
            <w:vAlign w:val="center"/>
          </w:tcPr>
          <w:p w14:paraId="0B9A41F8"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25</w:t>
            </w:r>
          </w:p>
        </w:tc>
        <w:tc>
          <w:tcPr>
            <w:tcW w:w="7661" w:type="dxa"/>
            <w:shd w:val="clear" w:color="auto" w:fill="auto"/>
            <w:noWrap/>
            <w:vAlign w:val="bottom"/>
          </w:tcPr>
          <w:p w14:paraId="37E17972"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Hvis konvertibelt: helt eller delvist</w:t>
            </w:r>
          </w:p>
          <w:p w14:paraId="5FFCE6A6"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Institutterne skal angive, om instrumentet altid konverteres fuldt ud, kan konverteres helt eller delvist eller altid konverteres delvist.</w:t>
            </w:r>
          </w:p>
          <w:p w14:paraId="04295F27"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Vælg i menu:</w:t>
            </w:r>
            <w:r>
              <w:rPr>
                <w:i/>
                <w:sz w:val="24"/>
                <w:rFonts w:ascii="Times New Roman" w:hAnsi="Times New Roman"/>
              </w:rPr>
              <w:t xml:space="preserve"> </w:t>
            </w:r>
            <w:r>
              <w:rPr>
                <w:i/>
                <w:sz w:val="24"/>
                <w:rFonts w:ascii="Times New Roman" w:hAnsi="Times New Roman"/>
              </w:rPr>
              <w:t xml:space="preserve">[Altid fuldt ud] [Fuldt ud eller delvist] [Altid delvist]</w:t>
            </w:r>
          </w:p>
        </w:tc>
      </w:tr>
      <w:tr w:rsidR="00C85971" w:rsidRPr="007F4CC8" w14:paraId="2F949347" w14:textId="77777777" w:rsidTr="00D819DE">
        <w:trPr>
          <w:trHeight w:val="259"/>
        </w:trPr>
        <w:tc>
          <w:tcPr>
            <w:tcW w:w="1030" w:type="dxa"/>
            <w:vAlign w:val="center"/>
          </w:tcPr>
          <w:p w14:paraId="5F8D7F5B"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26</w:t>
            </w:r>
          </w:p>
        </w:tc>
        <w:tc>
          <w:tcPr>
            <w:tcW w:w="7661" w:type="dxa"/>
            <w:shd w:val="clear" w:color="auto" w:fill="auto"/>
            <w:noWrap/>
            <w:vAlign w:val="bottom"/>
          </w:tcPr>
          <w:p w14:paraId="525BBA92"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Hvis konvertibelt: konverteringssats</w:t>
            </w:r>
          </w:p>
          <w:p w14:paraId="24115E30"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Institutterne skal angive satsen for konvertering til det mere tabsabsorberende instrument.</w:t>
            </w:r>
            <w:r>
              <w:rPr>
                <w:sz w:val="24"/>
                <w:rFonts w:ascii="Times New Roman" w:hAnsi="Times New Roman"/>
              </w:rPr>
              <w:t xml:space="preserve"> </w:t>
            </w:r>
          </w:p>
          <w:p w14:paraId="49572789"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Fritekst</w:t>
            </w:r>
          </w:p>
        </w:tc>
      </w:tr>
      <w:tr w:rsidR="00C85971" w:rsidRPr="007F4CC8" w14:paraId="3746C7E2" w14:textId="77777777" w:rsidTr="00D819DE">
        <w:trPr>
          <w:trHeight w:val="259"/>
        </w:trPr>
        <w:tc>
          <w:tcPr>
            <w:tcW w:w="1030" w:type="dxa"/>
            <w:vAlign w:val="center"/>
          </w:tcPr>
          <w:p w14:paraId="71E2E2D5"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27</w:t>
            </w:r>
          </w:p>
        </w:tc>
        <w:tc>
          <w:tcPr>
            <w:tcW w:w="7661" w:type="dxa"/>
            <w:shd w:val="clear" w:color="auto" w:fill="auto"/>
            <w:noWrap/>
            <w:vAlign w:val="bottom"/>
          </w:tcPr>
          <w:p w14:paraId="2824EFA1"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Hvis konvertibelt: obligatorisk eller valgfri konvertering</w:t>
            </w:r>
          </w:p>
          <w:p w14:paraId="2C09BCD8"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For konvertible instrumenter skal institutterne angive, om konvertering er obligatorisk eller valgfri.</w:t>
            </w:r>
            <w:r>
              <w:rPr>
                <w:sz w:val="24"/>
                <w:rFonts w:ascii="Times New Roman" w:hAnsi="Times New Roman"/>
              </w:rPr>
              <w:t xml:space="preserve"> </w:t>
            </w:r>
          </w:p>
          <w:p w14:paraId="0C9E7DA5"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Vælg i menu:</w:t>
            </w:r>
            <w:r>
              <w:rPr>
                <w:i/>
                <w:sz w:val="24"/>
                <w:rFonts w:ascii="Times New Roman" w:hAnsi="Times New Roman"/>
              </w:rPr>
              <w:t xml:space="preserve"> </w:t>
            </w:r>
            <w:r>
              <w:rPr>
                <w:i/>
                <w:sz w:val="24"/>
                <w:rFonts w:ascii="Times New Roman" w:hAnsi="Times New Roman"/>
              </w:rPr>
              <w:t xml:space="preserve">[Obligatorisk] [Valgfri] [Ikke relevant] og [Efter indehavernes valg] [Efter udstederens valg] [Efter både indehavernes og udstederens valg]</w:t>
            </w:r>
          </w:p>
        </w:tc>
      </w:tr>
      <w:tr w:rsidR="00C85971" w:rsidRPr="007F4CC8" w14:paraId="19A25638" w14:textId="77777777" w:rsidTr="00D819DE">
        <w:trPr>
          <w:trHeight w:val="259"/>
        </w:trPr>
        <w:tc>
          <w:tcPr>
            <w:tcW w:w="1030" w:type="dxa"/>
            <w:vAlign w:val="center"/>
          </w:tcPr>
          <w:p w14:paraId="316EF1A2"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28</w:t>
            </w:r>
          </w:p>
        </w:tc>
        <w:tc>
          <w:tcPr>
            <w:tcW w:w="7661" w:type="dxa"/>
            <w:shd w:val="clear" w:color="auto" w:fill="auto"/>
            <w:noWrap/>
            <w:vAlign w:val="bottom"/>
          </w:tcPr>
          <w:p w14:paraId="0838A71A"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Hvis konvertibelt: angiv instrumenttype, der kan konverteres til</w:t>
            </w:r>
          </w:p>
          <w:p w14:paraId="006F3C5C"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For konvertible instrumenter skal institutterne angive den instrumenttype, der kan konverteres til.</w:t>
            </w:r>
            <w:r>
              <w:rPr>
                <w:sz w:val="24"/>
                <w:rFonts w:ascii="Times New Roman" w:hAnsi="Times New Roman"/>
              </w:rPr>
              <w:t xml:space="preserve"> </w:t>
            </w:r>
            <w:r>
              <w:rPr>
                <w:sz w:val="24"/>
                <w:rFonts w:ascii="Times New Roman" w:hAnsi="Times New Roman"/>
              </w:rPr>
              <w:t xml:space="preserve">Hjælper med at vurdere kapaciteten til at absorbere tab.</w:t>
            </w:r>
          </w:p>
          <w:p w14:paraId="466B3378"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Vælg i menu:</w:t>
            </w:r>
            <w:r>
              <w:rPr>
                <w:i/>
                <w:sz w:val="24"/>
                <w:rFonts w:ascii="Times New Roman" w:hAnsi="Times New Roman"/>
              </w:rPr>
              <w:t xml:space="preserve"> </w:t>
            </w:r>
            <w:r>
              <w:rPr>
                <w:i/>
                <w:sz w:val="24"/>
                <w:rFonts w:ascii="Times New Roman" w:hAnsi="Times New Roman"/>
              </w:rPr>
              <w:t xml:space="preserve">[Egentlig kernekapital] [Hybrid kernekapital] [Supplerende kapital] [Andet]</w:t>
            </w:r>
          </w:p>
        </w:tc>
      </w:tr>
      <w:tr w:rsidR="00C85971" w:rsidRPr="007F4CC8" w14:paraId="60E889B7" w14:textId="77777777" w:rsidTr="00D819DE">
        <w:trPr>
          <w:trHeight w:val="259"/>
        </w:trPr>
        <w:tc>
          <w:tcPr>
            <w:tcW w:w="1030" w:type="dxa"/>
            <w:vAlign w:val="center"/>
          </w:tcPr>
          <w:p w14:paraId="03D25633"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29</w:t>
            </w:r>
          </w:p>
        </w:tc>
        <w:tc>
          <w:tcPr>
            <w:tcW w:w="7661" w:type="dxa"/>
            <w:shd w:val="clear" w:color="auto" w:fill="auto"/>
            <w:noWrap/>
            <w:vAlign w:val="bottom"/>
          </w:tcPr>
          <w:p w14:paraId="37418A51"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Hvis konvertibelt: angiv udsteder for det instrument, der konverteres til</w:t>
            </w:r>
          </w:p>
          <w:p w14:paraId="68640A35"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Fritekst</w:t>
            </w:r>
          </w:p>
        </w:tc>
      </w:tr>
      <w:tr w:rsidR="00C85971" w:rsidRPr="007F4CC8" w14:paraId="0B942A3B" w14:textId="77777777" w:rsidTr="00D819DE">
        <w:trPr>
          <w:trHeight w:val="259"/>
        </w:trPr>
        <w:tc>
          <w:tcPr>
            <w:tcW w:w="1030" w:type="dxa"/>
            <w:vAlign w:val="center"/>
          </w:tcPr>
          <w:p w14:paraId="53F811FD"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30</w:t>
            </w:r>
          </w:p>
        </w:tc>
        <w:tc>
          <w:tcPr>
            <w:tcW w:w="7661" w:type="dxa"/>
            <w:shd w:val="clear" w:color="auto" w:fill="auto"/>
            <w:noWrap/>
            <w:vAlign w:val="bottom"/>
          </w:tcPr>
          <w:p w14:paraId="6ED6EEF3"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Egenskaber for nedskrivning</w:t>
            </w:r>
          </w:p>
          <w:p w14:paraId="4699CA87"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Institutterne skal angive, om der findes en nedskrivningsegenskab.</w:t>
            </w:r>
            <w:r>
              <w:rPr>
                <w:sz w:val="24"/>
                <w:rFonts w:ascii="Times New Roman" w:hAnsi="Times New Roman"/>
              </w:rPr>
              <w:t xml:space="preserve"> </w:t>
            </w:r>
          </w:p>
          <w:p w14:paraId="14FB6667"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Vælg i menu:</w:t>
            </w:r>
            <w:r>
              <w:rPr>
                <w:i/>
                <w:sz w:val="24"/>
                <w:rFonts w:ascii="Times New Roman" w:hAnsi="Times New Roman"/>
              </w:rPr>
              <w:t xml:space="preserve"> </w:t>
            </w:r>
            <w:r>
              <w:rPr>
                <w:i/>
                <w:sz w:val="24"/>
                <w:rFonts w:ascii="Times New Roman" w:hAnsi="Times New Roman"/>
              </w:rPr>
              <w:t xml:space="preserve">[Ja] [Nej]</w:t>
            </w:r>
          </w:p>
        </w:tc>
      </w:tr>
      <w:tr w:rsidR="00C85971" w:rsidRPr="007F4CC8" w14:paraId="1E910235" w14:textId="77777777" w:rsidTr="00D819DE">
        <w:trPr>
          <w:trHeight w:val="259"/>
        </w:trPr>
        <w:tc>
          <w:tcPr>
            <w:tcW w:w="1030" w:type="dxa"/>
            <w:vAlign w:val="center"/>
          </w:tcPr>
          <w:p w14:paraId="4E24BE5F"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31</w:t>
            </w:r>
          </w:p>
        </w:tc>
        <w:tc>
          <w:tcPr>
            <w:tcW w:w="7661" w:type="dxa"/>
            <w:shd w:val="clear" w:color="auto" w:fill="auto"/>
            <w:noWrap/>
            <w:vAlign w:val="bottom"/>
          </w:tcPr>
          <w:p w14:paraId="72A83167"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Hvis nedskrivning: nedskrivningsudløser(e)</w:t>
            </w:r>
          </w:p>
          <w:p w14:paraId="397C3607" w14:textId="77777777" w:rsidR="00C85971" w:rsidRPr="007F4CC8" w:rsidRDefault="00C85971" w:rsidP="00D819DE">
            <w:pPr>
              <w:autoSpaceDE w:val="0"/>
              <w:autoSpaceDN w:val="0"/>
              <w:adjustRightInd w:val="0"/>
              <w:spacing w:after="200"/>
              <w:jc w:val="both"/>
              <w:rPr>
                <w:sz w:val="24"/>
                <w:rFonts w:ascii="Times New Roman" w:eastAsia="Times New Roman" w:hAnsi="Times New Roman" w:cs="Times New Roman"/>
              </w:rPr>
            </w:pPr>
            <w:r>
              <w:rPr>
                <w:sz w:val="24"/>
                <w:rFonts w:ascii="Times New Roman" w:hAnsi="Times New Roman"/>
              </w:rPr>
              <w:t xml:space="preserve">Institutterne skal angive de udløsere, hvor nedskrivning foretages, herunder tidspunkt, hvor instituttet ikke længere er levedygtigt.</w:t>
            </w:r>
            <w:r>
              <w:rPr>
                <w:sz w:val="24"/>
                <w:rFonts w:ascii="Times New Roman" w:hAnsi="Times New Roman"/>
              </w:rPr>
              <w:t xml:space="preserve"> </w:t>
            </w:r>
            <w:r>
              <w:rPr>
                <w:sz w:val="24"/>
                <w:rFonts w:ascii="Times New Roman" w:hAnsi="Times New Roman"/>
              </w:rPr>
              <w:t xml:space="preserve">Hvis en eller flere myndigheder kan udløse nedskrivning, skal disse myndigheder anføres.</w:t>
            </w:r>
            <w:r>
              <w:rPr>
                <w:sz w:val="24"/>
                <w:rFonts w:ascii="Times New Roman" w:hAnsi="Times New Roman"/>
              </w:rPr>
              <w:t xml:space="preserve"> </w:t>
            </w:r>
            <w:r>
              <w:rPr>
                <w:sz w:val="24"/>
                <w:rFonts w:ascii="Times New Roman" w:hAnsi="Times New Roman"/>
              </w:rPr>
              <w:t xml:space="preserve">For hver myndighed angives det, om retsgrundlaget for at udløse en nedskrivning følger af vilkårene i instrumentkontrakten (kontraktbestemt metode), eller om retsgrundlaget følger af lovgivningen (lovpligtig metode).</w:t>
            </w:r>
            <w:r>
              <w:rPr>
                <w:sz w:val="24"/>
                <w:rFonts w:ascii="Times New Roman" w:hAnsi="Times New Roman"/>
              </w:rPr>
              <w:t xml:space="preserve"> </w:t>
            </w:r>
          </w:p>
          <w:p w14:paraId="6D317CE3"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Fritekst</w:t>
            </w:r>
          </w:p>
        </w:tc>
      </w:tr>
      <w:tr w:rsidR="00C85971" w:rsidRPr="007F4CC8" w14:paraId="6949351B" w14:textId="77777777" w:rsidTr="00D819DE">
        <w:trPr>
          <w:trHeight w:val="259"/>
        </w:trPr>
        <w:tc>
          <w:tcPr>
            <w:tcW w:w="1030" w:type="dxa"/>
            <w:vAlign w:val="center"/>
          </w:tcPr>
          <w:p w14:paraId="3C0E7AE7"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32</w:t>
            </w:r>
          </w:p>
        </w:tc>
        <w:tc>
          <w:tcPr>
            <w:tcW w:w="7661" w:type="dxa"/>
            <w:shd w:val="clear" w:color="auto" w:fill="auto"/>
            <w:noWrap/>
            <w:vAlign w:val="bottom"/>
          </w:tcPr>
          <w:p w14:paraId="128DCCFB"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Hvis nedskrivning: hel eller delvis</w:t>
            </w:r>
          </w:p>
          <w:p w14:paraId="64FD8396"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Institutterne skal angive, om instrumentet altid nedskrives fuldt ud, kan nedskrives helt eller delvist eller altid nedskrives delvist.</w:t>
            </w:r>
            <w:r>
              <w:rPr>
                <w:sz w:val="24"/>
                <w:rFonts w:ascii="Times New Roman" w:hAnsi="Times New Roman"/>
              </w:rPr>
              <w:t xml:space="preserve"> </w:t>
            </w:r>
            <w:r>
              <w:rPr>
                <w:sz w:val="24"/>
                <w:rFonts w:ascii="Times New Roman" w:hAnsi="Times New Roman"/>
              </w:rPr>
              <w:t xml:space="preserve">Hjælper med at vurdere kapaciteten til at absorbere tab ved nedskrivning.</w:t>
            </w:r>
          </w:p>
          <w:p w14:paraId="6CADF97E"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Vælg i menu:</w:t>
            </w:r>
            <w:r>
              <w:rPr>
                <w:i/>
                <w:sz w:val="24"/>
                <w:rFonts w:ascii="Times New Roman" w:hAnsi="Times New Roman"/>
              </w:rPr>
              <w:t xml:space="preserve"> </w:t>
            </w:r>
            <w:r>
              <w:rPr>
                <w:i/>
                <w:sz w:val="24"/>
                <w:rFonts w:ascii="Times New Roman" w:hAnsi="Times New Roman"/>
              </w:rPr>
              <w:t xml:space="preserve">[Altid fuldt ud] [Fuldt ud eller delvist] [Altid delvist]</w:t>
            </w:r>
          </w:p>
        </w:tc>
      </w:tr>
      <w:tr w:rsidR="00C85971" w:rsidRPr="007F4CC8" w14:paraId="7C1FC81B" w14:textId="77777777" w:rsidTr="00D819DE">
        <w:trPr>
          <w:trHeight w:val="259"/>
        </w:trPr>
        <w:tc>
          <w:tcPr>
            <w:tcW w:w="1030" w:type="dxa"/>
            <w:vAlign w:val="center"/>
          </w:tcPr>
          <w:p w14:paraId="38874106"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33</w:t>
            </w:r>
          </w:p>
        </w:tc>
        <w:tc>
          <w:tcPr>
            <w:tcW w:w="7661" w:type="dxa"/>
            <w:shd w:val="clear" w:color="auto" w:fill="auto"/>
            <w:noWrap/>
            <w:vAlign w:val="bottom"/>
          </w:tcPr>
          <w:p w14:paraId="37D65274"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Hvis nedskrivning: permanent eller midlertidig</w:t>
            </w:r>
          </w:p>
          <w:p w14:paraId="34260CB9"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Ved nedskrivning af instrument skal institutterne angive, om nedskrivningen er permanent eller midlertidig.</w:t>
            </w:r>
            <w:r>
              <w:rPr>
                <w:sz w:val="24"/>
                <w:rFonts w:ascii="Times New Roman" w:hAnsi="Times New Roman"/>
              </w:rPr>
              <w:t xml:space="preserve"> </w:t>
            </w:r>
          </w:p>
          <w:p w14:paraId="32C2F438"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Vælg i menu:</w:t>
            </w:r>
            <w:r>
              <w:rPr>
                <w:i/>
                <w:sz w:val="24"/>
                <w:rFonts w:ascii="Times New Roman" w:hAnsi="Times New Roman"/>
              </w:rPr>
              <w:t xml:space="preserve"> </w:t>
            </w:r>
            <w:r>
              <w:rPr>
                <w:i/>
                <w:sz w:val="24"/>
                <w:rFonts w:ascii="Times New Roman" w:hAnsi="Times New Roman"/>
              </w:rPr>
              <w:t xml:space="preserve">[Permanent] [Midlertidig] [Ikke relevant]</w:t>
            </w:r>
          </w:p>
        </w:tc>
      </w:tr>
      <w:tr w:rsidR="00C85971" w:rsidRPr="007F4CC8" w14:paraId="77828B7A" w14:textId="77777777" w:rsidTr="00D819DE">
        <w:trPr>
          <w:trHeight w:val="259"/>
        </w:trPr>
        <w:tc>
          <w:tcPr>
            <w:tcW w:w="1030" w:type="dxa"/>
            <w:vAlign w:val="center"/>
          </w:tcPr>
          <w:p w14:paraId="6A4CA3C0"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34</w:t>
            </w:r>
          </w:p>
        </w:tc>
        <w:tc>
          <w:tcPr>
            <w:tcW w:w="7661" w:type="dxa"/>
            <w:shd w:val="clear" w:color="auto" w:fill="auto"/>
            <w:noWrap/>
            <w:vAlign w:val="bottom"/>
          </w:tcPr>
          <w:p w14:paraId="1932E4FA"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Hvis midlertidig nedskrivning: beskriv opskrivningsmekanismen</w:t>
            </w:r>
            <w:r>
              <w:rPr>
                <w:sz w:val="24"/>
                <w:rFonts w:ascii="Times New Roman" w:hAnsi="Times New Roman"/>
              </w:rPr>
              <w:t xml:space="preserve"> </w:t>
            </w:r>
          </w:p>
          <w:p w14:paraId="508717B2"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Institutterne skal beskrive opskrivningsmekanismen.</w:t>
            </w:r>
          </w:p>
          <w:p w14:paraId="69A4EF70"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Fritekst</w:t>
            </w:r>
          </w:p>
        </w:tc>
      </w:tr>
      <w:tr w:rsidR="00C85971" w:rsidRPr="007F4CC8" w14:paraId="154793E4" w14:textId="77777777" w:rsidTr="00D819DE">
        <w:trPr>
          <w:trHeight w:val="259"/>
        </w:trPr>
        <w:tc>
          <w:tcPr>
            <w:tcW w:w="1030" w:type="dxa"/>
            <w:vAlign w:val="center"/>
          </w:tcPr>
          <w:p w14:paraId="662DC7D2"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34a</w:t>
            </w:r>
          </w:p>
        </w:tc>
        <w:tc>
          <w:tcPr>
            <w:tcW w:w="7661" w:type="dxa"/>
            <w:shd w:val="clear" w:color="auto" w:fill="auto"/>
            <w:noWrap/>
            <w:vAlign w:val="bottom"/>
          </w:tcPr>
          <w:p w14:paraId="0557B0EA"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Type af efterstillelse (kun for nedskrivningsrelevante passiver)</w:t>
            </w:r>
          </w:p>
          <w:p w14:paraId="102AAA85"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Institutterne skal angive, om instrumentet falder ind under en af de typer af efterstillelse, som er beskrevet i artikel 72b, stk. 2, litra d), nr. i), ii) og iii), i CRR.</w:t>
            </w:r>
            <w:r>
              <w:rPr>
                <w:sz w:val="24"/>
                <w:rFonts w:ascii="Times New Roman" w:hAnsi="Times New Roman"/>
              </w:rPr>
              <w:t xml:space="preserve"> </w:t>
            </w:r>
          </w:p>
          <w:p w14:paraId="4FDC7BEB"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Vælg i menu:</w:t>
            </w:r>
          </w:p>
          <w:p w14:paraId="588ACAC6"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 </w:t>
            </w:r>
            <w:r>
              <w:rPr>
                <w:i/>
                <w:sz w:val="24"/>
                <w:rFonts w:ascii="Times New Roman" w:hAnsi="Times New Roman"/>
              </w:rPr>
              <w:t xml:space="preserve">[Kontraktlig], hvis instrumentet opfylder kravene i artikel 72b, stk. 2, litra d), nr. i), i CRR</w:t>
            </w:r>
          </w:p>
          <w:p w14:paraId="5F91F70D"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 </w:t>
            </w:r>
            <w:r>
              <w:rPr>
                <w:i/>
                <w:sz w:val="24"/>
                <w:rFonts w:ascii="Times New Roman" w:hAnsi="Times New Roman"/>
              </w:rPr>
              <w:t xml:space="preserve">[Lovpligtig], hvis instrumentet opfylder kravene i artikel 72b, stk. 2, litra d), nr. ii), i CRR</w:t>
            </w:r>
          </w:p>
          <w:p w14:paraId="7DBFA7DA"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[Strukturel], hvis instrumentet opfylder kravene i artikel 72b, stk. 2, litra d), nr. iii), i CRR</w:t>
            </w:r>
            <w:r>
              <w:rPr>
                <w:i/>
                <w:sz w:val="24"/>
                <w:rFonts w:ascii="Times New Roman" w:hAnsi="Times New Roman"/>
              </w:rPr>
              <w:t xml:space="preserve"> </w:t>
            </w:r>
          </w:p>
          <w:p w14:paraId="3C97593F" w14:textId="77777777" w:rsidR="00C85971" w:rsidRPr="007F4CC8" w:rsidRDefault="00C85971" w:rsidP="00D819DE">
            <w:pPr>
              <w:spacing w:after="200"/>
              <w:jc w:val="both"/>
              <w:rPr>
                <w:sz w:val="24"/>
                <w:rFonts w:ascii="Times New Roman" w:eastAsia="Times New Roman" w:hAnsi="Times New Roman" w:cs="Times New Roman"/>
              </w:rPr>
            </w:pPr>
            <w:r>
              <w:rPr>
                <w:i/>
                <w:sz w:val="24"/>
                <w:rFonts w:ascii="Times New Roman" w:hAnsi="Times New Roman"/>
              </w:rPr>
              <w:t xml:space="preserve">[Undtagelse fra efterstillelse] hvis instrumentet ikke falder ind under nogen af ovenstående former for efterstillelse, og forudsat at instituttet i henhold til artikel 72b, stk. 4, i CRR har fået tilladelse til at betragte ikkeefterstillede passiver som nedskrivningsrelevante passivposter.</w:t>
            </w:r>
          </w:p>
        </w:tc>
      </w:tr>
      <w:tr w:rsidR="00C85971" w:rsidRPr="007F4CC8" w14:paraId="338C8AE0" w14:textId="77777777" w:rsidTr="00D819DE">
        <w:trPr>
          <w:trHeight w:val="259"/>
        </w:trPr>
        <w:tc>
          <w:tcPr>
            <w:tcW w:w="1030" w:type="dxa"/>
            <w:vAlign w:val="center"/>
          </w:tcPr>
          <w:p w14:paraId="760148AC"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EU-34b</w:t>
            </w:r>
          </w:p>
        </w:tc>
        <w:tc>
          <w:tcPr>
            <w:tcW w:w="7661" w:type="dxa"/>
            <w:shd w:val="clear" w:color="auto" w:fill="auto"/>
            <w:noWrap/>
            <w:vAlign w:val="bottom"/>
          </w:tcPr>
          <w:p w14:paraId="2A4DED31"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Instrumentets prioritering ved almindelig insolvensbehandling</w:t>
            </w:r>
          </w:p>
          <w:p w14:paraId="0A912A46"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Institutterne skal angive instrumentets prioritering ved almindelig insolvensbehandling.</w:t>
            </w:r>
          </w:p>
          <w:p w14:paraId="7E0F7F1E" w14:textId="77777777" w:rsidR="00C85971" w:rsidRPr="007F4CC8" w:rsidRDefault="00C85971" w:rsidP="00D819DE">
            <w:pPr>
              <w:spacing w:after="200"/>
              <w:jc w:val="both"/>
              <w:rPr>
                <w:sz w:val="24"/>
                <w:rFonts w:ascii="Times New Roman" w:eastAsia="Times New Roman" w:hAnsi="Times New Roman" w:cs="Times New Roman"/>
              </w:rPr>
            </w:pPr>
            <w:r>
              <w:rPr>
                <w:i/>
                <w:sz w:val="24"/>
                <w:rFonts w:ascii="Times New Roman" w:hAnsi="Times New Roman"/>
              </w:rPr>
              <w:t xml:space="preserve">Som fastsat i [ITS om MREL-indberetning].</w:t>
            </w:r>
          </w:p>
        </w:tc>
      </w:tr>
      <w:tr w:rsidR="00C85971" w:rsidRPr="007F4CC8" w14:paraId="0010F19A" w14:textId="77777777" w:rsidTr="00D819DE">
        <w:trPr>
          <w:trHeight w:val="259"/>
        </w:trPr>
        <w:tc>
          <w:tcPr>
            <w:tcW w:w="1030" w:type="dxa"/>
            <w:vAlign w:val="center"/>
          </w:tcPr>
          <w:p w14:paraId="31B87949"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35</w:t>
            </w:r>
          </w:p>
        </w:tc>
        <w:tc>
          <w:tcPr>
            <w:tcW w:w="7661" w:type="dxa"/>
            <w:shd w:val="clear" w:color="auto" w:fill="auto"/>
            <w:noWrap/>
            <w:vAlign w:val="bottom"/>
          </w:tcPr>
          <w:p w14:paraId="0D11AB0E"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Position i efterstillelseshierarki ved likvidation (angiv instrumenttype, der er umiddelbart over instrumentet)</w:t>
            </w:r>
          </w:p>
          <w:p w14:paraId="79DC0123"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Institutterne skal angive det instrument, som det er umiddelbart efterstillet.</w:t>
            </w:r>
            <w:r>
              <w:rPr>
                <w:sz w:val="24"/>
                <w:rFonts w:ascii="Times New Roman" w:hAnsi="Times New Roman"/>
              </w:rPr>
              <w:t xml:space="preserve"> </w:t>
            </w:r>
            <w:r>
              <w:rPr>
                <w:sz w:val="24"/>
                <w:rFonts w:ascii="Times New Roman" w:hAnsi="Times New Roman"/>
              </w:rPr>
              <w:t xml:space="preserve">Banker skal angive kolonnenumrene på instrumenterne i den udfyldte tabel for hovedtræk, som instrumentet er umiddelbart efterstillet.</w:t>
            </w:r>
          </w:p>
          <w:p w14:paraId="08249FBE"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Fritekst</w:t>
            </w:r>
          </w:p>
        </w:tc>
      </w:tr>
      <w:tr w:rsidR="00C85971" w:rsidRPr="007F4CC8" w14:paraId="772A47FC" w14:textId="77777777" w:rsidTr="00D819DE">
        <w:trPr>
          <w:trHeight w:val="259"/>
        </w:trPr>
        <w:tc>
          <w:tcPr>
            <w:tcW w:w="1030" w:type="dxa"/>
            <w:vAlign w:val="center"/>
          </w:tcPr>
          <w:p w14:paraId="25114F8D"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36</w:t>
            </w:r>
          </w:p>
        </w:tc>
        <w:tc>
          <w:tcPr>
            <w:tcW w:w="7661" w:type="dxa"/>
            <w:shd w:val="clear" w:color="auto" w:fill="auto"/>
            <w:noWrap/>
            <w:vAlign w:val="bottom"/>
          </w:tcPr>
          <w:p w14:paraId="2425AD51"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Ikkeoverensstemmende træk efter overgangsperiode</w:t>
            </w:r>
          </w:p>
          <w:p w14:paraId="5476BC6A"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Institutterne skal angive, om der er ikkeoverensstemmende træk.</w:t>
            </w:r>
          </w:p>
          <w:p w14:paraId="6A270CFD"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Vælg i menu:</w:t>
            </w:r>
            <w:r>
              <w:rPr>
                <w:i/>
                <w:sz w:val="24"/>
                <w:rFonts w:ascii="Times New Roman" w:hAnsi="Times New Roman"/>
              </w:rPr>
              <w:t xml:space="preserve"> </w:t>
            </w:r>
            <w:r>
              <w:rPr>
                <w:i/>
                <w:sz w:val="24"/>
                <w:rFonts w:ascii="Times New Roman" w:hAnsi="Times New Roman"/>
              </w:rPr>
              <w:t xml:space="preserve">[Ja] [Nej]</w:t>
            </w:r>
          </w:p>
        </w:tc>
      </w:tr>
      <w:tr w:rsidR="00C85971" w:rsidRPr="007F4CC8" w14:paraId="54FB02B7" w14:textId="77777777" w:rsidTr="00D819DE">
        <w:trPr>
          <w:trHeight w:val="259"/>
        </w:trPr>
        <w:tc>
          <w:tcPr>
            <w:tcW w:w="1030" w:type="dxa"/>
            <w:vAlign w:val="center"/>
          </w:tcPr>
          <w:p w14:paraId="2C1874FA"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37</w:t>
            </w:r>
          </w:p>
        </w:tc>
        <w:tc>
          <w:tcPr>
            <w:tcW w:w="7661" w:type="dxa"/>
            <w:shd w:val="clear" w:color="auto" w:fill="auto"/>
            <w:noWrap/>
            <w:vAlign w:val="bottom"/>
          </w:tcPr>
          <w:p w14:paraId="414C59FC"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Hvis ja, angives ikkeoverensstemmende træk.</w:t>
            </w:r>
          </w:p>
          <w:p w14:paraId="2924F71C"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Hvis der er ikkeoverensstemmende træk, skal institutterne angive disse træk.</w:t>
            </w:r>
            <w:r>
              <w:rPr>
                <w:sz w:val="24"/>
                <w:rFonts w:ascii="Times New Roman" w:hAnsi="Times New Roman"/>
              </w:rPr>
              <w:t xml:space="preserve"> </w:t>
            </w:r>
          </w:p>
          <w:p w14:paraId="0A28A97E" w14:textId="77777777" w:rsidR="00C85971" w:rsidRPr="007F4CC8" w:rsidRDefault="00C85971" w:rsidP="00D819DE">
            <w:pPr>
              <w:spacing w:after="200"/>
              <w:jc w:val="both"/>
              <w:rPr>
                <w:i/>
                <w:sz w:val="24"/>
                <w:rFonts w:ascii="Times New Roman" w:eastAsia="Times New Roman" w:hAnsi="Times New Roman" w:cs="Times New Roman"/>
              </w:rPr>
            </w:pPr>
            <w:r>
              <w:rPr>
                <w:i/>
                <w:sz w:val="24"/>
                <w:rFonts w:ascii="Times New Roman" w:hAnsi="Times New Roman"/>
              </w:rPr>
              <w:t xml:space="preserve">Fritekst</w:t>
            </w:r>
          </w:p>
        </w:tc>
      </w:tr>
      <w:tr w:rsidR="00C85971" w:rsidRPr="007F4CC8" w14:paraId="50E96DB8" w14:textId="77777777" w:rsidTr="00D819DE">
        <w:trPr>
          <w:trHeight w:val="259"/>
        </w:trPr>
        <w:tc>
          <w:tcPr>
            <w:tcW w:w="1030" w:type="dxa"/>
            <w:vAlign w:val="center"/>
          </w:tcPr>
          <w:p w14:paraId="3CA40C4F" w14:textId="77777777" w:rsidR="00C85971" w:rsidRPr="007F4CC8" w:rsidRDefault="00C85971" w:rsidP="00D819DE">
            <w:pPr>
              <w:spacing w:after="200" w:line="276" w:lineRule="auto"/>
              <w:rPr>
                <w:sz w:val="24"/>
                <w:rFonts w:ascii="Times New Roman" w:eastAsia="Times New Roman" w:hAnsi="Times New Roman" w:cs="Times New Roman"/>
              </w:rPr>
            </w:pPr>
            <w:r>
              <w:rPr>
                <w:sz w:val="24"/>
                <w:rFonts w:ascii="Times New Roman" w:hAnsi="Times New Roman"/>
              </w:rPr>
              <w:t xml:space="preserve">EU-37a</w:t>
            </w:r>
          </w:p>
        </w:tc>
        <w:tc>
          <w:tcPr>
            <w:tcW w:w="7661" w:type="dxa"/>
            <w:shd w:val="clear" w:color="auto" w:fill="auto"/>
            <w:noWrap/>
            <w:vAlign w:val="bottom"/>
          </w:tcPr>
          <w:p w14:paraId="7C7906C4"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Link til instrumentets fuldstændige vilkår og betingelser (henvisning)</w:t>
            </w:r>
          </w:p>
          <w:p w14:paraId="4A0585C3" w14:textId="77777777" w:rsidR="00C85971" w:rsidRPr="007F4CC8" w:rsidRDefault="00C85971" w:rsidP="00D819DE">
            <w:pPr>
              <w:spacing w:after="200"/>
              <w:jc w:val="both"/>
              <w:rPr>
                <w:sz w:val="24"/>
                <w:rFonts w:ascii="Times New Roman" w:eastAsia="Times New Roman" w:hAnsi="Times New Roman" w:cs="Times New Roman"/>
              </w:rPr>
            </w:pPr>
            <w:r>
              <w:rPr>
                <w:sz w:val="24"/>
                <w:rFonts w:ascii="Times New Roman" w:hAnsi="Times New Roman"/>
              </w:rPr>
              <w:t xml:space="preserve">Institutterne skal angive det hyperlink, der giver adgang til prospektet for udstedelsen, herunder samtlige vilkår og betingelser for instrumentet.</w:t>
            </w:r>
          </w:p>
        </w:tc>
      </w:tr>
    </w:tbl>
    <w:p w14:paraId="26230A8E" w14:textId="77777777" w:rsidR="00C85971" w:rsidRPr="007F4CC8" w:rsidRDefault="00C85971" w:rsidP="00C85971">
      <w:pPr>
        <w:rPr>
          <w:rFonts w:ascii="Times New Roman" w:hAnsi="Times New Roman" w:cs="Times New Roman"/>
          <w:bCs/>
          <w:sz w:val="24"/>
        </w:rPr>
        <w:sectPr w:rsidR="00C85971" w:rsidRPr="007F4CC8"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pPr>
    </w:p>
    <w:p w14:paraId="2958B3D7" w14:textId="77777777" w:rsidR="004E3F4D" w:rsidRDefault="004E3F4D"/>
    <w:sectPr w:rsidR="004E3F4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E6DA2" w14:textId="77777777" w:rsidR="00F31365" w:rsidRDefault="00F31365" w:rsidP="00C85971">
      <w:r>
        <w:separator/>
      </w:r>
    </w:p>
  </w:endnote>
  <w:endnote w:type="continuationSeparator" w:id="0">
    <w:p w14:paraId="2F78553C" w14:textId="77777777" w:rsidR="00F31365" w:rsidRDefault="00F31365" w:rsidP="00C85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7893" w14:textId="77777777" w:rsidR="00C85971" w:rsidRDefault="00C859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6977093"/>
      <w:docPartObj>
        <w:docPartGallery w:val="Page Numbers (Bottom of Page)"/>
        <w:docPartUnique/>
      </w:docPartObj>
    </w:sdtPr>
    <w:sdtEndPr>
      <w:rPr>
        <w:noProof/>
      </w:rPr>
    </w:sdtEndPr>
    <w:sdtContent>
      <w:p w14:paraId="7DADBA3A" w14:textId="77777777" w:rsidR="00C85971" w:rsidRDefault="00C85971">
        <w:pPr>
          <w:pStyle w:val="Footer"/>
          <w:jc w:val="right"/>
        </w:pPr>
        <w:r>
          <w:fldChar w:fldCharType="begin"/>
        </w:r>
        <w:r>
          <w:instrText xml:space="preserve"> PAGE   \* MERGEFORMAT </w:instrText>
        </w:r>
        <w:r>
          <w:fldChar w:fldCharType="separate"/>
        </w:r>
        <w:r>
          <w:t xml:space="preserve">23</w:t>
        </w:r>
        <w:r>
          <w:fldChar w:fldCharType="end"/>
        </w:r>
      </w:p>
    </w:sdtContent>
  </w:sdt>
  <w:p w14:paraId="0CCE5017" w14:textId="77777777" w:rsidR="00C85971" w:rsidRDefault="00C859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2E15A" w14:textId="77777777" w:rsidR="00C85971" w:rsidRDefault="00C859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A6D33" w14:textId="77777777" w:rsidR="00F31365" w:rsidRDefault="00F31365" w:rsidP="00C85971">
      <w:r>
        <w:separator/>
      </w:r>
    </w:p>
  </w:footnote>
  <w:footnote w:type="continuationSeparator" w:id="0">
    <w:p w14:paraId="11DDB8F0" w14:textId="77777777" w:rsidR="00F31365" w:rsidRDefault="00F31365" w:rsidP="00C85971">
      <w:r>
        <w:continuationSeparator/>
      </w:r>
    </w:p>
  </w:footnote>
  <w:footnote w:id="1">
    <w:p w14:paraId="34C0D36E" w14:textId="21FBEC66" w:rsidR="00E05386" w:rsidRPr="00E05386" w:rsidRDefault="00C85971" w:rsidP="00E05386">
      <w:pPr>
        <w:jc w:val="both"/>
        <w:rPr>
          <w:sz w:val="18"/>
          <w:szCs w:val="18"/>
          <w:rFonts w:ascii="Times New Roman" w:eastAsiaTheme="minorHAnsi" w:hAnsi="Times New Roman" w:cs="Times New Roman"/>
        </w:rPr>
      </w:pPr>
      <w:r>
        <w:rPr>
          <w:rStyle w:val="FootnoteReference"/>
          <w:rFonts w:cstheme="minorHAnsi"/>
          <w:sz w:val="18"/>
        </w:rPr>
        <w:footnoteRef/>
      </w:r>
      <w:r>
        <w:rPr>
          <w:sz w:val="18"/>
        </w:rPr>
        <w:t xml:space="preserve"> </w:t>
      </w:r>
      <w:r>
        <w:tab/>
      </w:r>
      <w:r>
        <w:rPr>
          <w:sz w:val="18"/>
        </w:rPr>
        <w:t xml:space="preserve">Europa-Parlamentets og Rådets forordning (EU) nr. 575/2013 af 26. juni 2013 om tilsynsmæssige krav til kreditinstitutter og om ændring af forordning (EU) nr. 648/2012, som ændret ved (EU) 2024/1623 (</w:t>
      </w:r>
      <w:hyperlink r:id="rId1" w:history="1">
        <w:r>
          <w:rPr>
            <w:color w:val="800080"/>
            <w:sz w:val="18"/>
            <w:u w:val="single"/>
          </w:rPr>
          <w:t xml:space="preserve">EUT L 176 af 27.6.2013, s. 1</w:t>
        </w:r>
      </w:hyperlink>
      <w:r>
        <w:rPr>
          <w:sz w:val="18"/>
        </w:rPr>
        <w:t xml:space="preserve">).</w:t>
      </w:r>
      <w:r>
        <w:rPr>
          <w:color w:val="800080"/>
          <w:sz w:val="18"/>
          <w:u w:val="single"/>
        </w:rPr>
        <w:t xml:space="preserve"> </w:t>
      </w:r>
      <w:hyperlink r:id="rId2" w:history="1">
        <w:r>
          <w:rPr>
            <w:rStyle w:val="Hyperlink"/>
            <w:sz w:val="18"/>
          </w:rPr>
          <w:t xml:space="preserve">Forordning - EU - 2024/1623 - DA - EUR-Lex (europa.eu)</w:t>
        </w:r>
      </w:hyperlink>
      <w:r>
        <w:rPr>
          <w:color w:val="444444"/>
        </w:rPr>
        <w:t xml:space="preserve">)</w:t>
      </w:r>
      <w:r>
        <w:t xml:space="preserve">.</w:t>
      </w:r>
    </w:p>
    <w:p w14:paraId="00404E50" w14:textId="647BF648" w:rsidR="00C85971" w:rsidRPr="00222AAB" w:rsidRDefault="00C85971" w:rsidP="00C85971">
      <w:pPr>
        <w:pStyle w:val="FootnoteText"/>
        <w:rPr>
          <w:rFonts w:cstheme="minorHAnsi"/>
        </w:rPr>
      </w:pPr>
    </w:p>
    <w:p w14:paraId="3E08FCB9" w14:textId="77777777" w:rsidR="00C85971" w:rsidRPr="00222AAB" w:rsidRDefault="00C85971" w:rsidP="00C85971">
      <w:pPr>
        <w:pStyle w:val="FootnoteText"/>
        <w:rPr>
          <w:rFonts w:cstheme="minorHAnsi"/>
        </w:rPr>
      </w:pPr>
    </w:p>
  </w:footnote>
  <w:footnote w:id="2">
    <w:p w14:paraId="79D41EBF" w14:textId="77777777" w:rsidR="00C85971" w:rsidRPr="00222AAB" w:rsidRDefault="00C85971" w:rsidP="00C85971">
      <w:pPr>
        <w:pStyle w:val="FootnoteText"/>
        <w:rPr>
          <w:rFonts w:cstheme="minorHAnsi"/>
        </w:rPr>
      </w:pPr>
    </w:p>
    <w:p w14:paraId="59AC6FEF" w14:textId="77777777" w:rsidR="00C85971" w:rsidRPr="00222AAB" w:rsidRDefault="00C85971" w:rsidP="00C85971">
      <w:pPr>
        <w:pStyle w:val="FootnoteText"/>
        <w:rPr>
          <w:rFonts w:cstheme="minorHAnsi"/>
        </w:rPr>
      </w:pPr>
    </w:p>
  </w:footnote>
  <w:footnote w:id="3">
    <w:p w14:paraId="474F090D" w14:textId="77777777" w:rsidR="00C85971" w:rsidRPr="00222AAB" w:rsidRDefault="00C85971" w:rsidP="00C85971">
      <w:pPr>
        <w:pStyle w:val="FootnoteText"/>
        <w:rPr>
          <w:rFonts w:cstheme="minorHAnsi"/>
        </w:rPr>
      </w:pPr>
      <w:r>
        <w:rPr>
          <w:rStyle w:val="FootnoteReference"/>
          <w:rFonts w:cstheme="minorHAnsi"/>
        </w:rPr>
        <w:footnoteRef/>
      </w:r>
      <w:r>
        <w:tab/>
      </w:r>
      <w:r>
        <w:t xml:space="preserve">Europa-Parlamentets og Rådets direktiv (EU) 2019/879 af 20. maj 2019 om ændring af direktiv 2014/59/EU for så vidt angår kreditinstitutters og investeringsselskabers tabsabsorberings- og rekapitaliseringskapacitet og af direktiv 98/26/EF (EUT L 150 af 7.6.2019, s. 296).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2D79B" w14:textId="2F5C3B73" w:rsidR="00C85971" w:rsidRDefault="00E05386">
    <w:pPr>
      <w:pStyle w:val="Header"/>
    </w:pPr>
    <w:r>
      <mc:AlternateContent>
        <mc:Choice Requires="wps">
          <w:drawing>
            <wp:anchor distT="0" distB="0" distL="0" distR="0" simplePos="0" relativeHeight="251659264" behindDoc="0" locked="0" layoutInCell="1" allowOverlap="1" wp14:anchorId="00618692" wp14:editId="0C4D650A">
              <wp:simplePos x="635" y="635"/>
              <wp:positionH relativeFrom="page">
                <wp:align>left</wp:align>
              </wp:positionH>
              <wp:positionV relativeFrom="page">
                <wp:align>top</wp:align>
              </wp:positionV>
              <wp:extent cx="1273175" cy="376555"/>
              <wp:effectExtent l="0" t="0" r="3175" b="4445"/>
              <wp:wrapNone/>
              <wp:docPr id="1778809381"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3AA7659" w14:textId="0D8AEC75"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0618692"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13AA7659" w14:textId="0D8AEC75"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FEB7C" w14:textId="3473DD13" w:rsidR="00C85971" w:rsidRDefault="00E05386">
    <w:pPr>
      <w:pStyle w:val="Header"/>
    </w:pPr>
    <w:r>
      <mc:AlternateContent>
        <mc:Choice Requires="wps">
          <w:drawing>
            <wp:anchor distT="0" distB="0" distL="0" distR="0" simplePos="0" relativeHeight="251660288" behindDoc="0" locked="0" layoutInCell="1" allowOverlap="1" wp14:anchorId="5BF4F239" wp14:editId="776ABDFC">
              <wp:simplePos x="1076325" y="447675"/>
              <wp:positionH relativeFrom="page">
                <wp:align>left</wp:align>
              </wp:positionH>
              <wp:positionV relativeFrom="page">
                <wp:align>top</wp:align>
              </wp:positionV>
              <wp:extent cx="1273175" cy="376555"/>
              <wp:effectExtent l="0" t="0" r="3175" b="4445"/>
              <wp:wrapNone/>
              <wp:docPr id="5229062"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960CC8F" w14:textId="21946EF4"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BF4F239"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4960CC8F" w14:textId="21946EF4"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A87E1" w14:textId="641F5E3F" w:rsidR="00C85971" w:rsidRDefault="00E05386">
    <w:pPr>
      <w:pStyle w:val="Header"/>
    </w:pPr>
    <w:r>
      <mc:AlternateContent>
        <mc:Choice Requires="wps">
          <w:drawing>
            <wp:anchor distT="0" distB="0" distL="0" distR="0" simplePos="0" relativeHeight="251658240" behindDoc="0" locked="0" layoutInCell="1" allowOverlap="1" wp14:anchorId="226F87F5" wp14:editId="24620C14">
              <wp:simplePos x="635" y="635"/>
              <wp:positionH relativeFrom="page">
                <wp:align>left</wp:align>
              </wp:positionH>
              <wp:positionV relativeFrom="page">
                <wp:align>top</wp:align>
              </wp:positionV>
              <wp:extent cx="1273175" cy="376555"/>
              <wp:effectExtent l="0" t="0" r="3175" b="4445"/>
              <wp:wrapNone/>
              <wp:docPr id="1899883283"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222DE17" w14:textId="7EAEF916"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26F87F5"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3222DE17" w14:textId="7EAEF916"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212932861">
    <w:abstractNumId w:val="1"/>
  </w:num>
  <w:num w:numId="2" w16cid:durableId="30541397">
    <w:abstractNumId w:val="2"/>
  </w:num>
  <w:num w:numId="3" w16cid:durableId="524826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92165"/>
    <w:rsid w:val="00147591"/>
    <w:rsid w:val="0023015D"/>
    <w:rsid w:val="004E3F4D"/>
    <w:rsid w:val="0085507F"/>
    <w:rsid w:val="00992165"/>
    <w:rsid w:val="00C85971"/>
    <w:rsid w:val="00E05386"/>
    <w:rsid w:val="00F313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29EBD"/>
  <w15:chartTrackingRefBased/>
  <w15:docId w15:val="{45AD9854-D011-46A8-A2C2-0C983E6A8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97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85971"/>
    <w:pPr>
      <w:spacing w:before="80" w:line="200" w:lineRule="exact"/>
      <w:ind w:left="567" w:hanging="567"/>
      <w:jc w:val="both"/>
    </w:pPr>
    <w:rPr>
      <w:sz w:val="18"/>
      <w:szCs w:val="18"/>
      <w:lang w:val="da-DK"/>
    </w:rPr>
  </w:style>
  <w:style w:type="character" w:customStyle="1" w:styleId="FootnoteTextChar">
    <w:name w:val="Footnote Text Char"/>
    <w:basedOn w:val="DefaultParagraphFont"/>
    <w:link w:val="FootnoteText"/>
    <w:rsid w:val="00C85971"/>
    <w:rPr>
      <w:rFonts w:eastAsiaTheme="minorEastAsia"/>
      <w:sz w:val="18"/>
      <w:szCs w:val="18"/>
      <w:lang w:val="da-DK"/>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85971"/>
    <w:rPr>
      <w:rFonts w:asciiTheme="minorHAnsi" w:hAnsiTheme="minorHAnsi"/>
      <w:sz w:val="22"/>
      <w:szCs w:val="18"/>
      <w:vertAlign w:val="superscript"/>
    </w:rPr>
  </w:style>
  <w:style w:type="character" w:styleId="Hyperlink">
    <w:name w:val="Hyperlink"/>
    <w:basedOn w:val="DefaultParagraphFont"/>
    <w:uiPriority w:val="99"/>
    <w:rsid w:val="00C85971"/>
    <w:rPr>
      <w:color w:val="0563C1" w:themeColor="hyperlink"/>
      <w:u w:val="single"/>
    </w:rPr>
  </w:style>
  <w:style w:type="paragraph" w:customStyle="1" w:styleId="numberedparagraph">
    <w:name w:val="numbered paragraph"/>
    <w:basedOn w:val="Normal"/>
    <w:qFormat/>
    <w:rsid w:val="00C85971"/>
    <w:pPr>
      <w:numPr>
        <w:numId w:val="1"/>
      </w:numPr>
      <w:spacing w:before="240" w:after="120" w:line="276" w:lineRule="auto"/>
      <w:jc w:val="both"/>
    </w:pPr>
    <w:rPr>
      <w:lang w:val="da-DK"/>
    </w:rPr>
  </w:style>
  <w:style w:type="paragraph" w:customStyle="1" w:styleId="Annexetitre">
    <w:name w:val="Annexe titre"/>
    <w:basedOn w:val="Normal"/>
    <w:next w:val="Normal"/>
    <w:rsid w:val="00C85971"/>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C85971"/>
    <w:pPr>
      <w:ind w:left="720"/>
    </w:pPr>
    <w:rPr>
      <w:rFonts w:ascii="Calibri" w:eastAsia="Calibri" w:hAnsi="Calibri" w:cs="Times New Roman"/>
      <w:szCs w:val="22"/>
    </w:rPr>
  </w:style>
  <w:style w:type="paragraph" w:customStyle="1" w:styleId="TableTitle">
    <w:name w:val="TableTitle"/>
    <w:basedOn w:val="Normal"/>
    <w:next w:val="Normal"/>
    <w:link w:val="TableTitleChar"/>
    <w:rsid w:val="00C85971"/>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85971"/>
    <w:rPr>
      <w:rFonts w:ascii="Arial" w:eastAsia="MS Mincho" w:hAnsi="Arial" w:cs="Times New Roman"/>
      <w:b/>
      <w:noProof/>
      <w:szCs w:val="20"/>
    </w:rPr>
  </w:style>
  <w:style w:type="paragraph" w:styleId="Header">
    <w:name w:val="header"/>
    <w:basedOn w:val="Normal"/>
    <w:link w:val="HeaderChar"/>
    <w:uiPriority w:val="99"/>
    <w:unhideWhenUsed/>
    <w:rsid w:val="00C85971"/>
    <w:pPr>
      <w:tabs>
        <w:tab w:val="center" w:pos="4513"/>
        <w:tab w:val="right" w:pos="9026"/>
      </w:tabs>
    </w:pPr>
  </w:style>
  <w:style w:type="character" w:customStyle="1" w:styleId="HeaderChar">
    <w:name w:val="Header Char"/>
    <w:basedOn w:val="DefaultParagraphFont"/>
    <w:link w:val="Header"/>
    <w:uiPriority w:val="99"/>
    <w:rsid w:val="00C85971"/>
    <w:rPr>
      <w:rFonts w:eastAsiaTheme="minorEastAsia"/>
      <w:szCs w:val="24"/>
    </w:rPr>
  </w:style>
  <w:style w:type="paragraph" w:styleId="Footer">
    <w:name w:val="footer"/>
    <w:basedOn w:val="Normal"/>
    <w:link w:val="FooterChar"/>
    <w:uiPriority w:val="99"/>
    <w:unhideWhenUsed/>
    <w:rsid w:val="00C85971"/>
    <w:pPr>
      <w:tabs>
        <w:tab w:val="center" w:pos="4513"/>
        <w:tab w:val="right" w:pos="9026"/>
      </w:tabs>
    </w:pPr>
  </w:style>
  <w:style w:type="character" w:customStyle="1" w:styleId="FooterChar">
    <w:name w:val="Footer Char"/>
    <w:basedOn w:val="DefaultParagraphFont"/>
    <w:link w:val="Footer"/>
    <w:uiPriority w:val="99"/>
    <w:rsid w:val="00C85971"/>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14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DA/TXT/?uri=OJ:L_202401623" TargetMode="External"/><Relationship Id="rId1" Type="http://schemas.openxmlformats.org/officeDocument/2006/relationships/hyperlink" Target="https://eur-lex.europa.eu/legal-content/DA/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E7BD3BA-B282-4A04-9C12-ECEE82CD7FB8}"/>
</file>

<file path=customXml/itemProps2.xml><?xml version="1.0" encoding="utf-8"?>
<ds:datastoreItem xmlns:ds="http://schemas.openxmlformats.org/officeDocument/2006/customXml" ds:itemID="{42997E4D-3DB4-4F22-A8C8-B2F2CE2C4D74}"/>
</file>

<file path=customXml/itemProps3.xml><?xml version="1.0" encoding="utf-8"?>
<ds:datastoreItem xmlns:ds="http://schemas.openxmlformats.org/officeDocument/2006/customXml" ds:itemID="{8B26B91A-F8F8-4BC2-B857-EF1D15E84E28}"/>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12</TotalTime>
  <Pages>24</Pages>
  <Words>7002</Words>
  <Characters>37815</Characters>
  <Application>Microsoft Office Word</Application>
  <DocSecurity>0</DocSecurity>
  <Lines>945</Lines>
  <Paragraphs>605</Paragraphs>
  <ScaleCrop>false</ScaleCrop>
  <Company>European Banking Authority</Company>
  <LinksUpToDate>false</LinksUpToDate>
  <CharactersWithSpaces>44212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5</cp:revision>
  <dcterms:created xsi:type="dcterms:W3CDTF">2021-03-11T11:52:00Z</dcterms:created>
  <dcterms:modified xsi:type="dcterms:W3CDTF">2024-09-26T14:23:00Z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713deb13,6a067a25,4fca06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2024-09-25T15:19:21Z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cd3cddb9-e889-4bbb-accd-ffb4f9292f32</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